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17</w:t>
      </w:r>
    </w:p>
    <w:p>
      <w:pPr>
        <w:jc w:val="center"/>
      </w:pPr>
      <w:r>
        <w:rPr>
          <w:b/>
          <w:sz w:val="44"/>
        </w:rPr>
        <w:t>Mercado, Comparáveis, Valuation e Preço Máximo de Compra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IMÓVEL → MERCADO → VALOR → CUSTO → MARGEM → PREÇO MÁXIMO → OPORTUNIDADE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deve transformar o imóvel consolidado e as evidências de mercado em uma estimativa de valor, faixa de valor, confiança, cenários econômicos e preço máximo de compra por estratégia.</w:t>
      </w:r>
    </w:p>
    <w:p>
      <w:pPr>
        <w:pStyle w:val="ListBullet"/>
      </w:pPr>
      <w:r>
        <w:t>Separar preço anunciado de valor de mercado.</w:t>
      </w:r>
    </w:p>
    <w:p>
      <w:pPr>
        <w:pStyle w:val="ListBullet"/>
      </w:pPr>
      <w:r>
        <w:t>Definir critérios para seleção e qualidade dos comparáveis.</w:t>
      </w:r>
    </w:p>
    <w:p>
      <w:pPr>
        <w:pStyle w:val="ListBullet"/>
      </w:pPr>
      <w:r>
        <w:t>Calcular desconto líquido e margem após custos.</w:t>
      </w:r>
    </w:p>
    <w:p>
      <w:pPr>
        <w:pStyle w:val="ListBullet"/>
      </w:pPr>
      <w:r>
        <w:t>Determinar preço máximo aceitável para cada estratégia.</w:t>
      </w:r>
    </w:p>
    <w:p>
      <w:pPr>
        <w:pStyle w:val="ListBullet"/>
      </w:pPr>
      <w:r>
        <w:t>Permitir que o mesmo imóvel tenha preços máximos diferentes conforme a estratégia.</w:t>
      </w:r>
    </w:p>
    <w:p>
      <w:pPr>
        <w:pStyle w:val="ListBullet"/>
      </w:pPr>
      <w:r>
        <w:t>Preservar incerteza quando a evidência de mercado for insuficiente.</w:t>
      </w:r>
    </w:p>
    <w:p>
      <w:pPr>
        <w:pStyle w:val="Heading1"/>
      </w:pPr>
      <w:r>
        <w:t>2. Princípio Central</w:t>
      </w:r>
    </w:p>
    <w:p>
      <w:r>
        <w:t>O Radar não deve perguntar apenas 'qual é o valor deste imóvel?'. Deve responder quatro perguntas:</w:t>
      </w:r>
    </w:p>
    <w:p>
      <w:pPr>
        <w:pStyle w:val="ListBullet"/>
      </w:pPr>
      <w:r>
        <w:t>Quanto o mercado provavelmente pagaria?</w:t>
      </w:r>
    </w:p>
    <w:p>
      <w:pPr>
        <w:pStyle w:val="ListBullet"/>
      </w:pPr>
      <w:r>
        <w:t>Quanto custa economicamente adquirir e colocar o imóvel em condição de saída?</w:t>
      </w:r>
    </w:p>
    <w:p>
      <w:pPr>
        <w:pStyle w:val="ListBullet"/>
      </w:pPr>
      <w:r>
        <w:t>Quanto de margem de segurança é necessário?</w:t>
      </w:r>
    </w:p>
    <w:p>
      <w:pPr>
        <w:pStyle w:val="ListBullet"/>
      </w:pPr>
      <w:r>
        <w:t>Qual é o maior preço que ainda torna a operação interessante para esta estratégia?</w:t>
      </w:r>
    </w:p>
    <w:p>
      <w:r>
        <w:t>O valor de mercado é uma estimativa. O preço máximo de compra é uma decisão estratégica derivada dessa estimativa.</w:t>
      </w:r>
    </w:p>
    <w:p>
      <w:pPr>
        <w:pStyle w:val="Heading1"/>
      </w:pPr>
      <w:r>
        <w:t>3. Conceitos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oferta</w:t>
            </w:r>
          </w:p>
        </w:tc>
        <w:tc>
          <w:tcPr>
            <w:tcW w:type="dxa" w:w="5112"/>
            <w:vAlign w:val="center"/>
          </w:tcPr>
          <w:p>
            <w:r>
              <w:t>Preço/lance informado pela fonte.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</w:t>
            </w:r>
          </w:p>
        </w:tc>
        <w:tc>
          <w:tcPr>
            <w:tcW w:type="dxa" w:w="5112"/>
            <w:vAlign w:val="center"/>
          </w:tcPr>
          <w:p>
            <w:r>
              <w:t>Estimativa do valor provável em condições normais.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venda rápida</w:t>
            </w:r>
          </w:p>
        </w:tc>
        <w:tc>
          <w:tcPr>
            <w:tcW w:type="dxa" w:w="5112"/>
            <w:vAlign w:val="center"/>
          </w:tcPr>
          <w:p>
            <w:r>
              <w:t>Valor estimado para uma saída mais rápida.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 total</w:t>
            </w:r>
          </w:p>
        </w:tc>
        <w:tc>
          <w:tcPr>
            <w:tcW w:type="dxa" w:w="5112"/>
            <w:vAlign w:val="center"/>
          </w:tcPr>
          <w:p>
            <w:r>
              <w:t>Preço de aquisição + custos + reforma + contingências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bruto</w:t>
            </w:r>
          </w:p>
        </w:tc>
        <w:tc>
          <w:tcPr>
            <w:tcW w:type="dxa" w:w="5112"/>
            <w:vAlign w:val="center"/>
          </w:tcPr>
          <w:p>
            <w:r>
              <w:t>Diferença entre preço de oferta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Diferença entre custo econômico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Valor de mercado − custo econômico.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Proteção contra erro de valuation e imprevistos.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</w:t>
            </w:r>
          </w:p>
        </w:tc>
        <w:tc>
          <w:tcPr>
            <w:tcW w:type="dxa" w:w="5112"/>
            <w:vAlign w:val="center"/>
          </w:tcPr>
          <w:p>
            <w:r>
              <w:t>Maior preço de aquisição compatível com 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 evidência que sustenta o 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 relativa</w:t>
            </w:r>
          </w:p>
        </w:tc>
        <w:tc>
          <w:tcPr>
            <w:tcW w:type="dxa" w:w="5112"/>
            <w:vAlign w:val="center"/>
          </w:tcPr>
          <w:p>
            <w:r>
              <w:t>Atratividade comparada a alternativas disponíveis.</w:t>
            </w:r>
          </w:p>
        </w:tc>
      </w:tr>
    </w:tbl>
    <w:p>
      <w:pPr>
        <w:pStyle w:val="Heading1"/>
      </w:pPr>
      <w:r>
        <w:t>4. Hierarquia de Evidências de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Peso conceitual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</w:t>
            </w:r>
          </w:p>
        </w:tc>
        <w:tc>
          <w:tcPr>
            <w:tcW w:type="dxa" w:w="3408"/>
            <w:vAlign w:val="center"/>
          </w:tcPr>
          <w:p>
            <w:r>
              <w:t>Transações efetivamente realizadas e comparáveis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B</w:t>
            </w:r>
          </w:p>
        </w:tc>
        <w:tc>
          <w:tcPr>
            <w:tcW w:type="dxa" w:w="3408"/>
            <w:vAlign w:val="center"/>
          </w:tcPr>
          <w:p>
            <w:r>
              <w:t>Múltiplas ofertas muito semelhantes e atuais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C</w:t>
            </w:r>
          </w:p>
        </w:tc>
        <w:tc>
          <w:tcPr>
            <w:tcW w:type="dxa" w:w="3408"/>
            <w:vAlign w:val="center"/>
          </w:tcPr>
          <w:p>
            <w:r>
              <w:t>Ofertas semelhantes com ajustes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r>
              <w:t>D</w:t>
            </w:r>
          </w:p>
        </w:tc>
        <w:tc>
          <w:tcPr>
            <w:tcW w:type="dxa" w:w="3408"/>
            <w:vAlign w:val="center"/>
          </w:tcPr>
          <w:p>
            <w:r>
              <w:t>Estimativas indiretas / poucos comparáveis</w:t>
            </w:r>
          </w:p>
        </w:tc>
        <w:tc>
          <w:tcPr>
            <w:tcW w:type="dxa" w:w="3408"/>
            <w:vAlign w:val="center"/>
          </w:tcPr>
          <w:p>
            <w:r>
              <w:t>Baixo</w:t>
            </w:r>
          </w:p>
        </w:tc>
      </w:tr>
      <w:tr>
        <w:tc>
          <w:tcPr>
            <w:tcW w:type="dxa" w:w="3408"/>
            <w:vAlign w:val="center"/>
          </w:tcPr>
          <w:p>
            <w:r>
              <w:t>E</w:t>
            </w:r>
          </w:p>
        </w:tc>
        <w:tc>
          <w:tcPr>
            <w:tcW w:type="dxa" w:w="3408"/>
            <w:vAlign w:val="center"/>
          </w:tcPr>
          <w:p>
            <w:r>
              <w:t>Analogia fraca ou dados antigos</w:t>
            </w:r>
          </w:p>
        </w:tc>
        <w:tc>
          <w:tcPr>
            <w:tcW w:type="dxa" w:w="3408"/>
            <w:vAlign w:val="center"/>
          </w:tcPr>
          <w:p>
            <w:r>
              <w:t>Muito baixo</w:t>
            </w:r>
          </w:p>
        </w:tc>
      </w:tr>
      <w:tr>
        <w:tc>
          <w:tcPr>
            <w:tcW w:type="dxa" w:w="3408"/>
            <w:vAlign w:val="center"/>
          </w:tcPr>
          <w:p>
            <w:r>
              <w:t>U</w:t>
            </w:r>
          </w:p>
        </w:tc>
        <w:tc>
          <w:tcPr>
            <w:tcW w:type="dxa" w:w="3408"/>
            <w:vAlign w:val="center"/>
          </w:tcPr>
          <w:p>
            <w:r>
              <w:t>Sem evidência suficiente</w:t>
            </w:r>
          </w:p>
        </w:tc>
        <w:tc>
          <w:tcPr>
            <w:tcW w:type="dxa" w:w="3408"/>
            <w:vAlign w:val="center"/>
          </w:tcPr>
          <w:p>
            <w:r>
              <w:t>Inconclusivo</w:t>
            </w:r>
          </w:p>
        </w:tc>
      </w:tr>
    </w:tbl>
    <w:p>
      <w:r>
        <w:t>O Radar deve diferenciar preço pedido de preço efetivamente transacionado. Quando não houver dados de transação, a análise pode utilizar anúncios, mas deve reduzir a confiança.</w:t>
      </w:r>
    </w:p>
    <w:p>
      <w:pPr>
        <w:pStyle w:val="Heading1"/>
      </w:pPr>
      <w:r>
        <w:t>5. Seleção de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condomínio/empreendimento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Mesma unidade/padrão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Mesma microregião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 de imóvel semelhante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 semelhante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Quartos/vagas semelhantes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Padrão construtivo semelhante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 semelhante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recente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público-alvo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</w:tbl>
    <w:p>
      <w:pPr>
        <w:pStyle w:val="ListBullet"/>
      </w:pPr>
      <w:r>
        <w:t>Comparável ruim não deve ser incluído apenas para aumentar o tamanho da amostra.</w:t>
      </w:r>
    </w:p>
    <w:p>
      <w:pPr>
        <w:pStyle w:val="ListBullet"/>
      </w:pPr>
      <w:r>
        <w:t>Qualidade deve prevalecer sobre quantidade.</w:t>
      </w:r>
    </w:p>
    <w:p>
      <w:pPr>
        <w:pStyle w:val="ListBullet"/>
      </w:pPr>
      <w:r>
        <w:t>Comparáveis incompatíveis devem ser excluídos ou explicitamente ajustados.</w:t>
      </w:r>
    </w:p>
    <w:p>
      <w:pPr>
        <w:pStyle w:val="Heading1"/>
      </w:pPr>
      <w:r>
        <w:t>6. Quantidade de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Muitos comparáveis de alta qualidade</w:t>
            </w:r>
          </w:p>
        </w:tc>
        <w:tc>
          <w:tcPr>
            <w:tcW w:type="dxa" w:w="5112"/>
            <w:vAlign w:val="center"/>
          </w:tcPr>
          <w:p>
            <w:r>
              <w:t>Maior confiança; usar distribuição.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Quantidade razoável</w:t>
            </w:r>
          </w:p>
        </w:tc>
        <w:tc>
          <w:tcPr>
            <w:tcW w:type="dxa" w:w="5112"/>
            <w:vAlign w:val="center"/>
          </w:tcPr>
          <w:p>
            <w:r>
              <w:t>Usar mediana e faixa.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</w:t>
            </w:r>
          </w:p>
        </w:tc>
        <w:tc>
          <w:tcPr>
            <w:tcW w:type="dxa" w:w="5112"/>
            <w:vAlign w:val="center"/>
          </w:tcPr>
          <w:p>
            <w:r>
              <w:t>Faixa mais ampla e confiança reduzida.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Um único comparável</w:t>
            </w:r>
          </w:p>
        </w:tc>
        <w:tc>
          <w:tcPr>
            <w:tcW w:type="dxa" w:w="5112"/>
            <w:vAlign w:val="center"/>
          </w:tcPr>
          <w:p>
            <w:r>
              <w:t>Somente como evidência, não como verdade.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Nenhum comparável</w:t>
            </w:r>
          </w:p>
        </w:tc>
        <w:tc>
          <w:tcPr>
            <w:tcW w:type="dxa" w:w="5112"/>
            <w:vAlign w:val="center"/>
          </w:tcPr>
          <w:p>
            <w:r>
              <w:t>Valuation inconclusivo ou baseado em método alternativo.</w:t>
            </w:r>
          </w:p>
        </w:tc>
      </w:tr>
    </w:tbl>
    <w:p>
      <w:pPr>
        <w:pStyle w:val="Heading1"/>
      </w:pPr>
      <w:r>
        <w:t>7. Ajustes dos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Diferença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Ajustar preço total/preço por m² conforme segmento.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Quartos</w:t>
            </w:r>
          </w:p>
        </w:tc>
        <w:tc>
          <w:tcPr>
            <w:tcW w:type="dxa" w:w="5112"/>
            <w:vAlign w:val="center"/>
          </w:tcPr>
          <w:p>
            <w:r>
              <w:t>Ajustar conforme impacto observado no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Vagas</w:t>
            </w:r>
          </w:p>
        </w:tc>
        <w:tc>
          <w:tcPr>
            <w:tcW w:type="dxa" w:w="5112"/>
            <w:vAlign w:val="center"/>
          </w:tcPr>
          <w:p>
            <w:r>
              <w:t>Ajustar quando material.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Padrão</w:t>
            </w:r>
          </w:p>
        </w:tc>
        <w:tc>
          <w:tcPr>
            <w:tcW w:type="dxa" w:w="5112"/>
            <w:vAlign w:val="center"/>
          </w:tcPr>
          <w:p>
            <w:r>
              <w:t>Separar baixo, médio, alto padrão.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Conservação</w:t>
            </w:r>
          </w:p>
        </w:tc>
        <w:tc>
          <w:tcPr>
            <w:tcW w:type="dxa" w:w="5112"/>
            <w:vAlign w:val="center"/>
          </w:tcPr>
          <w:p>
            <w:r>
              <w:t>Separar reformado, original e deteriorado.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Considerar impacto na atratividade.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Andar/elevador</w:t>
            </w:r>
          </w:p>
        </w:tc>
        <w:tc>
          <w:tcPr>
            <w:tcW w:type="dxa" w:w="5112"/>
            <w:vAlign w:val="center"/>
          </w:tcPr>
          <w:p>
            <w:r>
              <w:t>Ajustar quando 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Considerar microdiferenças.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Atualizar quando mercado mudou.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Características especiais</w:t>
            </w:r>
          </w:p>
        </w:tc>
        <w:tc>
          <w:tcPr>
            <w:tcW w:type="dxa" w:w="5112"/>
            <w:vAlign w:val="center"/>
          </w:tcPr>
          <w:p>
            <w:r>
              <w:t>Tratar individualmente.</w:t>
            </w:r>
          </w:p>
        </w:tc>
      </w:tr>
    </w:tbl>
    <w:p>
      <w:pPr>
        <w:pStyle w:val="Heading1"/>
      </w:pPr>
      <w:r>
        <w:t>8. Mesmo Condomínio</w:t>
      </w:r>
    </w:p>
    <w:p>
      <w:r>
        <w:t>Comparáveis do mesmo condomínio possuem valor especial porque reduzem diferenças de localização e estrutura.</w:t>
      </w:r>
    </w:p>
    <w:p>
      <w:pPr>
        <w:pStyle w:val="ListBullet"/>
      </w:pPr>
      <w:r>
        <w:t>Priorizar mesma torre/bloco quando possível.</w:t>
      </w:r>
    </w:p>
    <w:p>
      <w:pPr>
        <w:pStyle w:val="ListBullet"/>
      </w:pPr>
      <w:r>
        <w:t>Comparar unidades de áreas e características próximas.</w:t>
      </w:r>
    </w:p>
    <w:p>
      <w:pPr>
        <w:pStyle w:val="ListBullet"/>
      </w:pPr>
      <w:r>
        <w:t>Considerar diferenças de andar, posição, vaga e reforma.</w:t>
      </w:r>
    </w:p>
    <w:p>
      <w:pPr>
        <w:pStyle w:val="ListBullet"/>
      </w:pPr>
      <w:r>
        <w:t>Não assumir que toda unidade do condomínio possui o mesmo valor por m².</w:t>
      </w:r>
    </w:p>
    <w:p>
      <w:pPr>
        <w:pStyle w:val="ListBullet"/>
      </w:pPr>
      <w:r>
        <w:t>Usar o histórico de ofertas do próprio empreendimento quando disponível.</w:t>
      </w:r>
    </w:p>
    <w:p>
      <w:pPr>
        <w:pStyle w:val="Heading1"/>
      </w:pPr>
      <w:r>
        <w:t>9. Preço por m²</w:t>
      </w:r>
    </w:p>
    <w:p>
      <w:r>
        <w:t>Preço por m² é indicador auxiliar, não substituto do valuation.</w:t>
      </w:r>
    </w:p>
    <w:p>
      <w:pPr>
        <w:pStyle w:val="ListBullet"/>
      </w:pPr>
      <w:r>
        <w:t>Usar área correta para o tipo de imóvel.</w:t>
      </w:r>
    </w:p>
    <w:p>
      <w:pPr>
        <w:pStyle w:val="ListBullet"/>
      </w:pPr>
      <w:r>
        <w:t>Não comparar áreas privativas e totais sem ajuste.</w:t>
      </w:r>
    </w:p>
    <w:p>
      <w:pPr>
        <w:pStyle w:val="ListBullet"/>
      </w:pPr>
      <w:r>
        <w:t>Separar segmentos muito diferentes.</w:t>
      </w:r>
    </w:p>
    <w:p>
      <w:pPr>
        <w:pStyle w:val="ListBullet"/>
      </w:pPr>
      <w:r>
        <w:t>Analisar distribuição, mediana e dispersão.</w:t>
      </w:r>
    </w:p>
    <w:p>
      <w:pPr>
        <w:pStyle w:val="ListBullet"/>
      </w:pPr>
      <w:r>
        <w:t>Investigar outliers.</w:t>
      </w:r>
    </w:p>
    <w:p>
      <w:r>
        <w:t>O preço total e as características do imóvel continuam relevantes; dois imóveis com o mesmo preço/m² podem possuir liquidez e valor econômico diferentes.</w:t>
      </w:r>
    </w:p>
    <w:p>
      <w:pPr>
        <w:pStyle w:val="Heading1"/>
      </w:pPr>
      <w:r>
        <w:t>10. Outliers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acima da amostra</w:t>
            </w:r>
          </w:p>
        </w:tc>
        <w:tc>
          <w:tcPr>
            <w:tcW w:type="dxa" w:w="5112"/>
            <w:vAlign w:val="center"/>
          </w:tcPr>
          <w:p>
            <w:r>
              <w:t>Investigar; pode ser imóvel premium.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muito abaixo</w:t>
            </w:r>
          </w:p>
        </w:tc>
        <w:tc>
          <w:tcPr>
            <w:tcW w:type="dxa" w:w="5112"/>
            <w:vAlign w:val="center"/>
          </w:tcPr>
          <w:p>
            <w:r>
              <w:t>Investigar; pode conter problema ou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Anúncio antigo</w:t>
            </w:r>
          </w:p>
        </w:tc>
        <w:tc>
          <w:tcPr>
            <w:tcW w:type="dxa" w:w="5112"/>
            <w:vAlign w:val="center"/>
          </w:tcPr>
          <w:p>
            <w:r>
              <w:t>Reduzir peso.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claramente diferente</w:t>
            </w:r>
          </w:p>
        </w:tc>
        <w:tc>
          <w:tcPr>
            <w:tcW w:type="dxa" w:w="5112"/>
            <w:vAlign w:val="center"/>
          </w:tcPr>
          <w:p>
            <w:r>
              <w:t>Excluir.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evidente</w:t>
            </w:r>
          </w:p>
        </w:tc>
        <w:tc>
          <w:tcPr>
            <w:tcW w:type="dxa" w:w="5112"/>
            <w:vAlign w:val="center"/>
          </w:tcPr>
          <w:p>
            <w:r>
              <w:t>Não usar como comparável.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Outlier recorrente</w:t>
            </w:r>
          </w:p>
        </w:tc>
        <w:tc>
          <w:tcPr>
            <w:tcW w:type="dxa" w:w="5112"/>
            <w:vAlign w:val="center"/>
          </w:tcPr>
          <w:p>
            <w:r>
              <w:t>Investigar se representa submercado real.</w:t>
            </w:r>
          </w:p>
        </w:tc>
      </w:tr>
    </w:tbl>
    <w:p>
      <w:pPr>
        <w:pStyle w:val="Heading1"/>
      </w:pPr>
      <w:r>
        <w:t>11. Métodos de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Comparativo</w:t>
            </w:r>
          </w:p>
        </w:tc>
        <w:tc>
          <w:tcPr>
            <w:tcW w:type="dxa" w:w="5112"/>
            <w:vAlign w:val="center"/>
          </w:tcPr>
          <w:p>
            <w:r>
              <w:t>Principal para apartamentos/casas quando há amostra.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Preço/m² ajustado</w:t>
            </w:r>
          </w:p>
        </w:tc>
        <w:tc>
          <w:tcPr>
            <w:tcW w:type="dxa" w:w="5112"/>
            <w:vAlign w:val="center"/>
          </w:tcPr>
          <w:p>
            <w:r>
              <w:t>Auxiliar para segmentos homogêneos.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condomínio</w:t>
            </w:r>
          </w:p>
        </w:tc>
        <w:tc>
          <w:tcPr>
            <w:tcW w:type="dxa" w:w="5112"/>
            <w:vAlign w:val="center"/>
          </w:tcPr>
          <w:p>
            <w:r>
              <w:t>Muito relevante em apartamentos.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Relevante quando imóvel é essencialmente de investimento.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Residual/potencial</w:t>
            </w:r>
          </w:p>
        </w:tc>
        <w:tc>
          <w:tcPr>
            <w:tcW w:type="dxa" w:w="5112"/>
            <w:vAlign w:val="center"/>
          </w:tcPr>
          <w:p>
            <w:r>
              <w:t>Mais aplicável a terrenos e imóveis com potencial específico.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Analogia de mercado</w:t>
            </w:r>
          </w:p>
        </w:tc>
        <w:tc>
          <w:tcPr>
            <w:tcW w:type="dxa" w:w="5112"/>
            <w:vAlign w:val="center"/>
          </w:tcPr>
          <w:p>
            <w:r>
              <w:t>Quando dados são escassos, com menor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Híbrido</w:t>
            </w:r>
          </w:p>
        </w:tc>
        <w:tc>
          <w:tcPr>
            <w:tcW w:type="dxa" w:w="5112"/>
            <w:vAlign w:val="center"/>
          </w:tcPr>
          <w:p>
            <w:r>
              <w:t>Combinação de métodos quando necessário.</w:t>
            </w:r>
          </w:p>
        </w:tc>
      </w:tr>
    </w:tbl>
    <w:p>
      <w:pPr>
        <w:pStyle w:val="Heading1"/>
      </w:pPr>
      <w:r>
        <w:t>12. Faixas de Valor</w:t>
      </w:r>
    </w:p>
    <w:p>
      <w:r>
        <w:t>O valuation deve evitar uma falsa precisão. Sempre que possível, entregar: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Saída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Conservador</w:t>
            </w:r>
          </w:p>
        </w:tc>
        <w:tc>
          <w:tcPr>
            <w:tcW w:type="dxa" w:w="5112"/>
            <w:vAlign w:val="center"/>
          </w:tcPr>
          <w:p>
            <w:r>
              <w:t>Protege contra superestimação.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Melhor estimativa central.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Otimista</w:t>
            </w:r>
          </w:p>
        </w:tc>
        <w:tc>
          <w:tcPr>
            <w:tcW w:type="dxa" w:w="5112"/>
            <w:vAlign w:val="center"/>
          </w:tcPr>
          <w:p>
            <w:r>
              <w:t>Potencial superior, sem ser referência principal.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 rápida</w:t>
            </w:r>
          </w:p>
        </w:tc>
        <w:tc>
          <w:tcPr>
            <w:tcW w:type="dxa" w:w="5112"/>
            <w:vAlign w:val="center"/>
          </w:tcPr>
          <w:p>
            <w:r>
              <w:t>Referência de liquidez/saída.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Indica qualidade da estimativa.</w:t>
            </w:r>
          </w:p>
        </w:tc>
      </w:tr>
    </w:tbl>
    <w:p>
      <w:pPr>
        <w:pStyle w:val="Heading1"/>
      </w:pPr>
      <w:r>
        <w:t>13. Exemplo de Valuation</w:t>
      </w:r>
    </w:p>
    <w:p>
      <w:r>
        <w:t>Suponha comparáveis ajustados entre R$ 285 mil e R$ 315 mil, com mediana de R$ 300 mil. O Radar pode produzir valor base de R$ 300 mil, conservador de R$ 285 mil e otimista de R$ 315 mil, desde que a dispersão e a qualidade da amostra sustentem essas faixas.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Valor ilustrativo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Conservador</w:t>
            </w:r>
          </w:p>
        </w:tc>
        <w:tc>
          <w:tcPr>
            <w:tcW w:type="dxa" w:w="3408"/>
            <w:vAlign w:val="center"/>
          </w:tcPr>
          <w:p>
            <w:r>
              <w:t>R$ 285.000</w:t>
            </w:r>
          </w:p>
        </w:tc>
        <w:tc>
          <w:tcPr>
            <w:tcW w:type="dxa" w:w="3408"/>
            <w:vAlign w:val="center"/>
          </w:tcPr>
          <w:p>
            <w:r>
              <w:t>Stress / 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Base</w:t>
            </w:r>
          </w:p>
        </w:tc>
        <w:tc>
          <w:tcPr>
            <w:tcW w:type="dxa" w:w="3408"/>
            <w:vAlign w:val="center"/>
          </w:tcPr>
          <w:p>
            <w:r>
              <w:t>R$ 300.000</w:t>
            </w:r>
          </w:p>
        </w:tc>
        <w:tc>
          <w:tcPr>
            <w:tcW w:type="dxa" w:w="3408"/>
            <w:vAlign w:val="center"/>
          </w:tcPr>
          <w:p>
            <w:r>
              <w:t>Decisão principal</w:t>
            </w:r>
          </w:p>
        </w:tc>
      </w:tr>
      <w:tr>
        <w:tc>
          <w:tcPr>
            <w:tcW w:type="dxa" w:w="3408"/>
            <w:vAlign w:val="center"/>
          </w:tcPr>
          <w:p>
            <w:r>
              <w:t>Otimista</w:t>
            </w:r>
          </w:p>
        </w:tc>
        <w:tc>
          <w:tcPr>
            <w:tcW w:type="dxa" w:w="3408"/>
            <w:vAlign w:val="center"/>
          </w:tcPr>
          <w:p>
            <w:r>
              <w:t>R$ 315.000</w:t>
            </w:r>
          </w:p>
        </w:tc>
        <w:tc>
          <w:tcPr>
            <w:tcW w:type="dxa" w:w="3408"/>
            <w:vAlign w:val="center"/>
          </w:tcPr>
          <w:p>
            <w:r>
              <w:t>Potencial, não garantia</w:t>
            </w:r>
          </w:p>
        </w:tc>
      </w:tr>
      <w:tr>
        <w:tc>
          <w:tcPr>
            <w:tcW w:type="dxa" w:w="3408"/>
            <w:vAlign w:val="center"/>
          </w:tcPr>
          <w:p>
            <w:r>
              <w:t>Venda rápida</w:t>
            </w:r>
          </w:p>
        </w:tc>
        <w:tc>
          <w:tcPr>
            <w:tcW w:type="dxa" w:w="3408"/>
            <w:vAlign w:val="center"/>
          </w:tcPr>
          <w:p>
            <w:r>
              <w:t>Ex.: R$ 270.000–285.000</w:t>
            </w:r>
          </w:p>
        </w:tc>
        <w:tc>
          <w:tcPr>
            <w:tcW w:type="dxa" w:w="3408"/>
            <w:vAlign w:val="center"/>
          </w:tcPr>
          <w:p>
            <w:r>
              <w:t>Teste de liquidez</w:t>
            </w:r>
          </w:p>
        </w:tc>
      </w:tr>
    </w:tbl>
    <w:p>
      <w:pPr>
        <w:pStyle w:val="Heading1"/>
      </w:pPr>
      <w:r>
        <w:t>14. Valuation por Estratégia</w:t>
      </w:r>
    </w:p>
    <w:p>
      <w:r>
        <w:t>O valor de mercado pode ser comum, mas o valor econômico para o investidor muda conforme a estratégia.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Referência principal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Valor compatível com aluguel e yield.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Valor de saída após reforma e custos.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Valor atual + potencial futuro, descontado por risco/horizonte.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MCMV/baixa renda</w:t>
            </w:r>
          </w:p>
        </w:tc>
        <w:tc>
          <w:tcPr>
            <w:tcW w:type="dxa" w:w="5112"/>
            <w:vAlign w:val="center"/>
          </w:tcPr>
          <w:p>
            <w:r>
              <w:t>Valor dentro da demanda e capacidade de financiamento do público.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Valor de uso/potencial e mercado local.</w:t>
            </w:r>
          </w:p>
        </w:tc>
      </w:tr>
    </w:tbl>
    <w:p>
      <w:pPr>
        <w:pStyle w:val="Heading1"/>
      </w:pPr>
      <w:r>
        <w:t>15. Custo Econômico Total</w:t>
      </w:r>
    </w:p>
    <w:p>
      <w:r>
        <w:t>O preço de aquisição nunca deve ser usado sozinho na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compra/lance</w:t>
            </w:r>
          </w:p>
        </w:tc>
        <w:tc>
          <w:tcPr>
            <w:tcW w:type="dxa" w:w="5112"/>
            <w:vAlign w:val="center"/>
          </w:tcPr>
          <w:p>
            <w:r>
              <w:t>R$ 191.651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Comissão</w:t>
            </w:r>
          </w:p>
        </w:tc>
        <w:tc>
          <w:tcPr>
            <w:tcW w:type="dxa" w:w="5112"/>
            <w:vAlign w:val="center"/>
          </w:tcPr>
          <w:p>
            <w:r>
              <w:t>Valor aplicável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ITBI/registro/documentação</w:t>
            </w:r>
          </w:p>
        </w:tc>
        <w:tc>
          <w:tcPr>
            <w:tcW w:type="dxa" w:w="5112"/>
            <w:vAlign w:val="center"/>
          </w:tcPr>
          <w:p>
            <w:r>
              <w:t>Estimativa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Condomínio/IPTU/débitos</w:t>
            </w:r>
          </w:p>
        </w:tc>
        <w:tc>
          <w:tcPr>
            <w:tcW w:type="dxa" w:w="5112"/>
            <w:vAlign w:val="center"/>
          </w:tcPr>
          <w:p>
            <w:r>
              <w:t>Valor confirmado/estimado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Orçamento/cenário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Regularização</w:t>
            </w:r>
          </w:p>
        </w:tc>
        <w:tc>
          <w:tcPr>
            <w:tcW w:type="dxa" w:w="5112"/>
            <w:vAlign w:val="center"/>
          </w:tcPr>
          <w:p>
            <w:r>
              <w:t>Quando aplicável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</w:t>
            </w:r>
          </w:p>
        </w:tc>
        <w:tc>
          <w:tcPr>
            <w:tcW w:type="dxa" w:w="5112"/>
            <w:vAlign w:val="center"/>
          </w:tcPr>
          <w:p>
            <w:r>
              <w:t>Quando aplicável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Carregamento</w:t>
            </w:r>
          </w:p>
        </w:tc>
        <w:tc>
          <w:tcPr>
            <w:tcW w:type="dxa" w:w="5112"/>
            <w:vAlign w:val="center"/>
          </w:tcPr>
          <w:p>
            <w:r>
              <w:t>Tempo até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Contingência</w:t>
            </w:r>
          </w:p>
        </w:tc>
        <w:tc>
          <w:tcPr>
            <w:tcW w:type="dxa" w:w="5112"/>
            <w:vAlign w:val="center"/>
          </w:tcPr>
          <w:p>
            <w:r>
              <w:t>Margem parametrizada</w:t>
            </w:r>
          </w:p>
        </w:tc>
      </w:tr>
    </w:tbl>
    <w:p>
      <w:r>
        <w:t>Custo econômico = soma dos componentes aplicáveis, mantendo desconhecidos explicitamente identificados.</w:t>
      </w:r>
    </w:p>
    <w:p>
      <w:pPr>
        <w:pStyle w:val="Heading1"/>
      </w:pPr>
      <w:r>
        <w:t>16. Desconto Bruto x Desconto Líquido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Fórmula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bruto</w:t>
            </w:r>
          </w:p>
        </w:tc>
        <w:tc>
          <w:tcPr>
            <w:tcW w:type="dxa" w:w="5112"/>
            <w:vAlign w:val="center"/>
          </w:tcPr>
          <w:p>
            <w:r>
              <w:t>1 − (preço de aquisição / valor de mercado)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1 − (custo econômico total / valor de mercado)</w:t>
            </w:r>
          </w:p>
        </w:tc>
      </w:tr>
    </w:tbl>
    <w:p>
      <w:r>
        <w:t>Exemplo: valor de mercado R$ 300 mil e preço de aquisição R$ 191.651 → desconto bruto ≈ 36,1%. Se o custo econômico total for R$ 220 mil → desconto líquido ≈ 26,7%.</w:t>
      </w:r>
    </w:p>
    <w:p>
      <w:pPr>
        <w:pStyle w:val="Heading1"/>
      </w:pPr>
      <w:r>
        <w:t>17. Margem de Segurança</w:t>
      </w:r>
    </w:p>
    <w:p>
      <w:r>
        <w:t>Margem de segurança deve proteger contra erros de valuation, custos inesperados, tempo de saída e variações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Como afeta a margem exigida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confiança no valuation</w:t>
            </w:r>
          </w:p>
        </w:tc>
        <w:tc>
          <w:tcPr>
            <w:tcW w:type="dxa" w:w="5112"/>
            <w:vAlign w:val="center"/>
          </w:tcPr>
          <w:p>
            <w:r>
              <w:t>Aumenta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 reforma</w:t>
            </w:r>
          </w:p>
        </w:tc>
        <w:tc>
          <w:tcPr>
            <w:tcW w:type="dxa" w:w="5112"/>
            <w:vAlign w:val="center"/>
          </w:tcPr>
          <w:p>
            <w:r>
              <w:t>Aumenta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liquidez</w:t>
            </w:r>
          </w:p>
        </w:tc>
        <w:tc>
          <w:tcPr>
            <w:tcW w:type="dxa" w:w="5112"/>
            <w:vAlign w:val="center"/>
          </w:tcPr>
          <w:p>
            <w:r>
              <w:t>Aumenta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jurídico/posse</w:t>
            </w:r>
          </w:p>
        </w:tc>
        <w:tc>
          <w:tcPr>
            <w:tcW w:type="dxa" w:w="5112"/>
            <w:vAlign w:val="center"/>
          </w:tcPr>
          <w:p>
            <w:r>
              <w:t>Aumenta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volátil</w:t>
            </w:r>
          </w:p>
        </w:tc>
        <w:tc>
          <w:tcPr>
            <w:tcW w:type="dxa" w:w="5112"/>
            <w:vAlign w:val="center"/>
          </w:tcPr>
          <w:p>
            <w:r>
              <w:t>Aumenta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robustos</w:t>
            </w:r>
          </w:p>
        </w:tc>
        <w:tc>
          <w:tcPr>
            <w:tcW w:type="dxa" w:w="5112"/>
            <w:vAlign w:val="center"/>
          </w:tcPr>
          <w:p>
            <w:r>
              <w:t>Pode 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rápida e líquida</w:t>
            </w:r>
          </w:p>
        </w:tc>
        <w:tc>
          <w:tcPr>
            <w:tcW w:type="dxa" w:w="5112"/>
            <w:vAlign w:val="center"/>
          </w:tcPr>
          <w:p>
            <w:r>
              <w:t>Pode 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Múltiplas estratégias aderentes</w:t>
            </w:r>
          </w:p>
        </w:tc>
        <w:tc>
          <w:tcPr>
            <w:tcW w:type="dxa" w:w="5112"/>
            <w:vAlign w:val="center"/>
          </w:tcPr>
          <w:p>
            <w:r>
              <w:t>Pode aumentar atratividade, sem eliminar risco</w:t>
            </w:r>
          </w:p>
        </w:tc>
      </w:tr>
    </w:tbl>
    <w:p>
      <w:pPr>
        <w:pStyle w:val="Heading1"/>
      </w:pPr>
      <w:r>
        <w:t>18. Preço Máximo de Compra</w:t>
      </w:r>
    </w:p>
    <w:p>
      <w:r>
        <w:t>O preço máximo deve ser calculado de trás para frente: parte-se do valor econômico de saída e descontam-se custos, margem e retorno exigido.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Estrutura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Preço máximo = valor de saída − custos de venda − reforma − carregamento − margem mínima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Preço máximo = aluguel compatível / yield mínimo − custos de aquisição/adequações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Preço máximo = valor esperado ajustado ao risco − custos − margem requerida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Preço máximo = valor compatível com demanda/financiamento − custos −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Preço máximo = valor econômico do potencial − desenvolvimento − custos − margem</w:t>
            </w:r>
          </w:p>
        </w:tc>
      </w:tr>
    </w:tbl>
    <w:p>
      <w:r>
        <w:t>O cálculo exato deve ser parametrizável e pode incorporar financiamento, prazo e impostos conforme a estratégia.</w:t>
      </w:r>
    </w:p>
    <w:p>
      <w:pPr>
        <w:pStyle w:val="Heading1"/>
      </w:pPr>
      <w:r>
        <w:t>19. Preço Máximo e Preço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 muito abaixo do máximo</w:t>
            </w:r>
          </w:p>
        </w:tc>
        <w:tc>
          <w:tcPr>
            <w:tcW w:type="dxa" w:w="5112"/>
            <w:vAlign w:val="center"/>
          </w:tcPr>
          <w:p>
            <w:r>
              <w:t>Grande folga; oportunidade forte.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 próximo do máximo</w:t>
            </w:r>
          </w:p>
        </w:tc>
        <w:tc>
          <w:tcPr>
            <w:tcW w:type="dxa" w:w="5112"/>
            <w:vAlign w:val="center"/>
          </w:tcPr>
          <w:p>
            <w:r>
              <w:t>Pouca margem; monitorar.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 acima do máximo</w:t>
            </w:r>
          </w:p>
        </w:tc>
        <w:tc>
          <w:tcPr>
            <w:tcW w:type="dxa" w:w="5112"/>
            <w:vAlign w:val="center"/>
          </w:tcPr>
          <w:p>
            <w:r>
              <w:t>Não comprar pela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 muda após nova informação</w:t>
            </w:r>
          </w:p>
        </w:tc>
        <w:tc>
          <w:tcPr>
            <w:tcW w:type="dxa" w:w="5112"/>
            <w:vAlign w:val="center"/>
          </w:tcPr>
          <w:p>
            <w:r>
              <w:t>Recalcular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 diferente por estratégia</w:t>
            </w:r>
          </w:p>
        </w:tc>
        <w:tc>
          <w:tcPr>
            <w:tcW w:type="dxa" w:w="5112"/>
            <w:vAlign w:val="center"/>
          </w:tcPr>
          <w:p>
            <w:r>
              <w:t>Esperado e desejável.</w:t>
            </w:r>
          </w:p>
        </w:tc>
      </w:tr>
    </w:tbl>
    <w:p>
      <w:pPr>
        <w:pStyle w:val="Heading1"/>
      </w:pPr>
      <w:r>
        <w:t>20. Oportunidade Relativa</w:t>
      </w:r>
    </w:p>
    <w:p>
      <w:r>
        <w:t>Uma oportunidade não deve ser avaliada apenas contra um valor absoluto. Deve ser comparada com outras oportunidades disponíveis.</w:t>
      </w:r>
    </w:p>
    <w:p>
      <w:pPr>
        <w:pStyle w:val="ListBullet"/>
      </w:pPr>
      <w:r>
        <w:t>Margem em relação ao risco.</w:t>
      </w:r>
    </w:p>
    <w:p>
      <w:pPr>
        <w:pStyle w:val="ListBullet"/>
      </w:pPr>
      <w:r>
        <w:t>Desconto líquido em relação ao mercado.</w:t>
      </w:r>
    </w:p>
    <w:p>
      <w:pPr>
        <w:pStyle w:val="ListBullet"/>
      </w:pPr>
      <w:r>
        <w:t>Liquidez.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Tempo e esforço para aquisição.</w:t>
      </w:r>
    </w:p>
    <w:p>
      <w:pPr>
        <w:pStyle w:val="ListBullet"/>
      </w:pPr>
      <w:r>
        <w:t>Retorno potencial.</w:t>
      </w:r>
    </w:p>
    <w:p>
      <w:pPr>
        <w:pStyle w:val="ListBullet"/>
      </w:pPr>
      <w:r>
        <w:t>Alternativas com melhor relação risco/retorno.</w:t>
      </w:r>
    </w:p>
    <w:p>
      <w:r>
        <w:t>O melhor imóvel do Radar é o melhor dentro das alternativas elegíveis, não necessariamente o mais barato.</w:t>
      </w:r>
    </w:p>
    <w:p>
      <w:pPr>
        <w:pStyle w:val="Heading1"/>
      </w:pPr>
      <w:r>
        <w:t>21. Cenários Econômicos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Premissas</w:t>
            </w:r>
          </w:p>
        </w:tc>
      </w:tr>
      <w:tr>
        <w:tc>
          <w:tcPr>
            <w:tcW w:type="dxa" w:w="5112"/>
            <w:vAlign w:val="center"/>
          </w:tcPr>
          <w:p>
            <w:r>
              <w:t>Otimista</w:t>
            </w:r>
          </w:p>
        </w:tc>
        <w:tc>
          <w:tcPr>
            <w:tcW w:type="dxa" w:w="5112"/>
            <w:vAlign w:val="center"/>
          </w:tcPr>
          <w:p>
            <w:r>
              <w:t>Saída próxima ao topo da faixa; custos controlados.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Premissas mais prováveis.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Conservador</w:t>
            </w:r>
          </w:p>
        </w:tc>
        <w:tc>
          <w:tcPr>
            <w:tcW w:type="dxa" w:w="5112"/>
            <w:vAlign w:val="center"/>
          </w:tcPr>
          <w:p>
            <w:r>
              <w:t>Valor menor + custos maiores + saída mais lenta.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Estressado</w:t>
            </w:r>
          </w:p>
        </w:tc>
        <w:tc>
          <w:tcPr>
            <w:tcW w:type="dxa" w:w="5112"/>
            <w:vAlign w:val="center"/>
          </w:tcPr>
          <w:p>
            <w:r>
              <w:t>Valor de saída baixo + custos altos + prazo elevado.</w:t>
            </w:r>
          </w:p>
        </w:tc>
      </w:tr>
    </w:tbl>
    <w:p>
      <w:pPr>
        <w:pStyle w:val="ListBullet"/>
      </w:pPr>
      <w:r>
        <w:t>BUY deve normalmente sobreviver ao cenário conservador conforme a estratégia.</w:t>
      </w:r>
    </w:p>
    <w:p>
      <w:pPr>
        <w:pStyle w:val="ListBullet"/>
      </w:pPr>
      <w:r>
        <w:t>Se só funcionar no otimista, classificar como especulativa.</w:t>
      </w:r>
    </w:p>
    <w:p>
      <w:pPr>
        <w:pStyle w:val="ListBullet"/>
      </w:pPr>
      <w:r>
        <w:t>Se nem o cenário base for viável, não recomendar compra.</w:t>
      </w:r>
    </w:p>
    <w:p>
      <w:pPr>
        <w:pStyle w:val="Heading1"/>
      </w:pPr>
      <w:r>
        <w:t>22. Liquidez no Valuation</w:t>
      </w:r>
    </w:p>
    <w:p>
      <w:r>
        <w:t>Valor de mercado e valor de venda rápida são diferentes. O Radar deve estimar ambos quando houver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muito líquido</w:t>
            </w:r>
          </w:p>
        </w:tc>
        <w:tc>
          <w:tcPr>
            <w:tcW w:type="dxa" w:w="5112"/>
            <w:vAlign w:val="center"/>
          </w:tcPr>
          <w:p>
            <w:r>
              <w:t>Venda rápida próxima ao valor base.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normal</w:t>
            </w:r>
          </w:p>
        </w:tc>
        <w:tc>
          <w:tcPr>
            <w:tcW w:type="dxa" w:w="5112"/>
            <w:vAlign w:val="center"/>
          </w:tcPr>
          <w:p>
            <w:r>
              <w:t>Desconto moderado para saída rápida.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pouco líquido</w:t>
            </w:r>
          </w:p>
        </w:tc>
        <w:tc>
          <w:tcPr>
            <w:tcW w:type="dxa" w:w="5112"/>
            <w:vAlign w:val="center"/>
          </w:tcPr>
          <w:p>
            <w:r>
              <w:t>Desconto maior e prazo maior.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muito específico</w:t>
            </w:r>
          </w:p>
        </w:tc>
        <w:tc>
          <w:tcPr>
            <w:tcW w:type="dxa" w:w="5112"/>
            <w:vAlign w:val="center"/>
          </w:tcPr>
          <w:p>
            <w:r>
              <w:t>Faixa ampla e confiança menor.</w:t>
            </w:r>
          </w:p>
        </w:tc>
      </w:tr>
    </w:tbl>
    <w:p>
      <w:pPr>
        <w:pStyle w:val="Heading1"/>
      </w:pPr>
      <w:r>
        <w:t>23. Valuation de Terrenos</w:t>
      </w:r>
    </w:p>
    <w:p>
      <w:pPr>
        <w:pStyle w:val="ListBullet"/>
      </w:pPr>
      <w:r>
        <w:t>Zoneamento e uso permitido.</w:t>
      </w:r>
    </w:p>
    <w:p>
      <w:pPr>
        <w:pStyle w:val="ListBullet"/>
      </w:pPr>
      <w:r>
        <w:t>Infraestrutura disponível.</w:t>
      </w:r>
    </w:p>
    <w:p>
      <w:pPr>
        <w:pStyle w:val="ListBullet"/>
      </w:pPr>
      <w:r>
        <w:t>Dimensões e topografia.</w:t>
      </w:r>
    </w:p>
    <w:p>
      <w:pPr>
        <w:pStyle w:val="ListBullet"/>
      </w:pPr>
      <w:r>
        <w:t>Potencial construtivo.</w:t>
      </w:r>
    </w:p>
    <w:p>
      <w:pPr>
        <w:pStyle w:val="ListBullet"/>
      </w:pPr>
      <w:r>
        <w:t>Demanda por lotes na região.</w:t>
      </w:r>
    </w:p>
    <w:p>
      <w:pPr>
        <w:pStyle w:val="ListBullet"/>
      </w:pPr>
      <w:r>
        <w:t>Comparáveis de terrenos similares.</w:t>
      </w:r>
    </w:p>
    <w:p>
      <w:pPr>
        <w:pStyle w:val="ListBullet"/>
      </w:pPr>
      <w:r>
        <w:t>Custos para desenvolvimento/regularização.</w:t>
      </w:r>
    </w:p>
    <w:p>
      <w:pPr>
        <w:pStyle w:val="ListBullet"/>
      </w:pPr>
      <w:r>
        <w:t>Prazo provável de saída.</w:t>
      </w:r>
    </w:p>
    <w:p>
      <w:r>
        <w:t>Terreno não deve ser valorizado apenas por preço/m² de terrenos vizinhos sem considerar potencial e restrições.</w:t>
      </w:r>
    </w:p>
    <w:p>
      <w:pPr>
        <w:pStyle w:val="Heading1"/>
      </w:pPr>
      <w:r>
        <w:t>24. Valuation de Casas e Sobrados</w:t>
      </w:r>
    </w:p>
    <w:p>
      <w:pPr>
        <w:pStyle w:val="ListBullet"/>
      </w:pPr>
      <w:r>
        <w:t>Área do terreno.</w:t>
      </w:r>
    </w:p>
    <w:p>
      <w:pPr>
        <w:pStyle w:val="ListBullet"/>
      </w:pPr>
      <w:r>
        <w:t>Área construída.</w:t>
      </w:r>
    </w:p>
    <w:p>
      <w:pPr>
        <w:pStyle w:val="ListBullet"/>
      </w:pPr>
      <w:r>
        <w:t>Padrão e conservação.</w:t>
      </w:r>
    </w:p>
    <w:p>
      <w:pPr>
        <w:pStyle w:val="ListBullet"/>
      </w:pPr>
      <w:r>
        <w:t>Vagas.</w:t>
      </w:r>
    </w:p>
    <w:p>
      <w:pPr>
        <w:pStyle w:val="ListBullet"/>
      </w:pPr>
      <w:r>
        <w:t>Localização/microregião.</w:t>
      </w:r>
    </w:p>
    <w:p>
      <w:pPr>
        <w:pStyle w:val="ListBullet"/>
      </w:pPr>
      <w:r>
        <w:t>Potencial de reforma/ampliação.</w:t>
      </w:r>
    </w:p>
    <w:p>
      <w:pPr>
        <w:pStyle w:val="ListBullet"/>
      </w:pPr>
      <w:r>
        <w:t>Liquidez do perfil.</w:t>
      </w:r>
    </w:p>
    <w:p>
      <w:pPr>
        <w:pStyle w:val="ListBullet"/>
      </w:pPr>
      <w:r>
        <w:t>Comparáveis efetivamente semelhantes.</w:t>
      </w:r>
    </w:p>
    <w:p>
      <w:pPr>
        <w:pStyle w:val="Heading1"/>
      </w:pPr>
      <w:r>
        <w:t>25. Valuation de Apartamentos</w:t>
      </w:r>
    </w:p>
    <w:p>
      <w:pPr>
        <w:pStyle w:val="ListBullet"/>
      </w:pPr>
      <w:r>
        <w:t>Área privativa.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Vagas.</w:t>
      </w:r>
    </w:p>
    <w:p>
      <w:pPr>
        <w:pStyle w:val="ListBullet"/>
      </w:pPr>
      <w:r>
        <w:t>Andar/elevador.</w:t>
      </w:r>
    </w:p>
    <w:p>
      <w:pPr>
        <w:pStyle w:val="ListBullet"/>
      </w:pPr>
      <w:r>
        <w:t>Posição e insolação quando relevantes.</w:t>
      </w:r>
    </w:p>
    <w:p>
      <w:pPr>
        <w:pStyle w:val="ListBullet"/>
      </w:pPr>
      <w:r>
        <w:t>Padrão do condomínio.</w:t>
      </w:r>
    </w:p>
    <w:p>
      <w:pPr>
        <w:pStyle w:val="ListBullet"/>
      </w:pPr>
      <w:r>
        <w:t>Estado da unidade.</w:t>
      </w:r>
    </w:p>
    <w:p>
      <w:pPr>
        <w:pStyle w:val="ListBullet"/>
      </w:pPr>
      <w:r>
        <w:t>Comparáveis do mesmo empreendimento.</w:t>
      </w:r>
    </w:p>
    <w:p>
      <w:pPr>
        <w:pStyle w:val="Heading1"/>
      </w:pPr>
      <w:r>
        <w:t>26. Valuation MCMV / Baixa Renda</w:t>
      </w:r>
    </w:p>
    <w:p>
      <w:r>
        <w:t>O valuation deve considerar a dinâmica específica desse mercado.</w:t>
      </w:r>
    </w:p>
    <w:p>
      <w:pPr>
        <w:pStyle w:val="ListBullet"/>
      </w:pPr>
      <w:r>
        <w:t>Ticket compatível com público-alvo.</w:t>
      </w:r>
    </w:p>
    <w:p>
      <w:pPr>
        <w:pStyle w:val="ListBullet"/>
      </w:pPr>
      <w:r>
        <w:t>Demanda real.</w:t>
      </w:r>
    </w:p>
    <w:p>
      <w:pPr>
        <w:pStyle w:val="ListBullet"/>
      </w:pPr>
      <w:r>
        <w:t>Financiamento disponível.</w:t>
      </w:r>
    </w:p>
    <w:p>
      <w:pPr>
        <w:pStyle w:val="ListBullet"/>
      </w:pPr>
      <w:r>
        <w:t>Aluguel praticado.</w:t>
      </w:r>
    </w:p>
    <w:p>
      <w:pPr>
        <w:pStyle w:val="ListBullet"/>
      </w:pPr>
      <w:r>
        <w:t>Liquidez.</w:t>
      </w:r>
    </w:p>
    <w:p>
      <w:pPr>
        <w:pStyle w:val="ListBullet"/>
      </w:pPr>
      <w:r>
        <w:t>Condição do imóvel.</w:t>
      </w:r>
    </w:p>
    <w:p>
      <w:pPr>
        <w:pStyle w:val="ListBullet"/>
      </w:pPr>
      <w:r>
        <w:t>Comparáveis do mesmo segmento.</w:t>
      </w:r>
    </w:p>
    <w:p>
      <w:r>
        <w:t>A classificação socioeconômica do público não deve ser usada como proxy automático de risco ou baixa qualidade.</w:t>
      </w:r>
    </w:p>
    <w:p>
      <w:pPr>
        <w:pStyle w:val="Heading1"/>
      </w:pPr>
      <w:r>
        <w:t>27. Confiança do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Comparáveis numerosos, atuais, homogêneos e/ou transações confirmadas.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Boa amostra com pequenos ajustes.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Amostra razoável, alguma incerteza.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Poucos comparáveis ou diferenças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baixa</w:t>
            </w:r>
          </w:p>
        </w:tc>
        <w:tc>
          <w:tcPr>
            <w:tcW w:type="dxa" w:w="5112"/>
            <w:vAlign w:val="center"/>
          </w:tcPr>
          <w:p>
            <w:r>
              <w:t>Evidência fraca/indireta.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Inconclusiva</w:t>
            </w:r>
          </w:p>
        </w:tc>
        <w:tc>
          <w:tcPr>
            <w:tcW w:type="dxa" w:w="5112"/>
            <w:vAlign w:val="center"/>
          </w:tcPr>
          <w:p>
            <w:r>
              <w:t>Não há base suficiente.</w:t>
            </w:r>
          </w:p>
        </w:tc>
      </w:tr>
    </w:tbl>
    <w:p>
      <w:pPr>
        <w:pStyle w:val="Heading1"/>
      </w:pPr>
      <w:r>
        <w:t>28. Gatilhos de Revaluation</w:t>
      </w:r>
    </w:p>
    <w:p>
      <w:pPr>
        <w:pStyle w:val="ListBullet"/>
      </w:pPr>
      <w:r>
        <w:t>Nova captura de preço.</w:t>
      </w:r>
    </w:p>
    <w:p>
      <w:pPr>
        <w:pStyle w:val="ListBullet"/>
      </w:pPr>
      <w:r>
        <w:t>Mudança material no status.</w:t>
      </w:r>
    </w:p>
    <w:p>
      <w:pPr>
        <w:pStyle w:val="ListBullet"/>
      </w:pPr>
      <w:r>
        <w:t>Novo comparável relevante.</w:t>
      </w:r>
    </w:p>
    <w:p>
      <w:pPr>
        <w:pStyle w:val="ListBullet"/>
      </w:pPr>
      <w:r>
        <w:t>Alteração do aluguel.</w:t>
      </w:r>
    </w:p>
    <w:p>
      <w:pPr>
        <w:pStyle w:val="ListBullet"/>
      </w:pPr>
      <w:r>
        <w:t>Nova informação física.</w:t>
      </w:r>
    </w:p>
    <w:p>
      <w:pPr>
        <w:pStyle w:val="ListBullet"/>
      </w:pPr>
      <w:r>
        <w:t>Novo risco.</w:t>
      </w:r>
    </w:p>
    <w:p>
      <w:pPr>
        <w:pStyle w:val="ListBullet"/>
      </w:pPr>
      <w:r>
        <w:t>Mudança relevante de mercado.</w:t>
      </w:r>
    </w:p>
    <w:p>
      <w:pPr>
        <w:pStyle w:val="ListBullet"/>
      </w:pPr>
      <w:r>
        <w:t>Mudança de estratégia.</w:t>
      </w:r>
    </w:p>
    <w:p>
      <w:pPr>
        <w:pStyle w:val="ListBullet"/>
      </w:pPr>
      <w:r>
        <w:t>Passagem de tempo além da validade configurada.</w:t>
      </w:r>
    </w:p>
    <w:p>
      <w:pPr>
        <w:pStyle w:val="Heading1"/>
      </w:pPr>
      <w:r>
        <w:t>29. Cenários de Erro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Erro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Proteção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superestimado</w:t>
            </w:r>
          </w:p>
        </w:tc>
        <w:tc>
          <w:tcPr>
            <w:tcW w:type="dxa" w:w="5112"/>
            <w:vAlign w:val="center"/>
          </w:tcPr>
          <w:p>
            <w:r>
              <w:t>Cenário conservador + margem.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Comparável ruim</w:t>
            </w:r>
          </w:p>
        </w:tc>
        <w:tc>
          <w:tcPr>
            <w:tcW w:type="dxa" w:w="5112"/>
            <w:vAlign w:val="center"/>
          </w:tcPr>
          <w:p>
            <w:r>
              <w:t>Qualificação de comparáveis.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esquecido</w:t>
            </w:r>
          </w:p>
        </w:tc>
        <w:tc>
          <w:tcPr>
            <w:tcW w:type="dxa" w:w="5112"/>
            <w:vAlign w:val="center"/>
          </w:tcPr>
          <w:p>
            <w:r>
              <w:t>Checklist de custo econômico.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subestimada</w:t>
            </w:r>
          </w:p>
        </w:tc>
        <w:tc>
          <w:tcPr>
            <w:tcW w:type="dxa" w:w="5112"/>
            <w:vAlign w:val="center"/>
          </w:tcPr>
          <w:p>
            <w:r>
              <w:t>Níveis de reforma + contingência.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otimista</w:t>
            </w:r>
          </w:p>
        </w:tc>
        <w:tc>
          <w:tcPr>
            <w:tcW w:type="dxa" w:w="5112"/>
            <w:vAlign w:val="center"/>
          </w:tcPr>
          <w:p>
            <w:r>
              <w:t>Valor de venda rápida.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mudou</w:t>
            </w:r>
          </w:p>
        </w:tc>
        <w:tc>
          <w:tcPr>
            <w:tcW w:type="dxa" w:w="5112"/>
            <w:vAlign w:val="center"/>
          </w:tcPr>
          <w:p>
            <w:r>
              <w:t>Frescor + revaluation.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conflitante</w:t>
            </w:r>
          </w:p>
        </w:tc>
        <w:tc>
          <w:tcPr>
            <w:tcW w:type="dxa" w:w="5112"/>
            <w:vAlign w:val="center"/>
          </w:tcPr>
          <w:p>
            <w:r>
              <w:t>Redução de confiança + pendência.</w:t>
            </w:r>
          </w:p>
        </w:tc>
      </w:tr>
    </w:tbl>
    <w:p>
      <w:pPr>
        <w:pStyle w:val="Heading1"/>
      </w:pPr>
      <w:r>
        <w:t>30. Exemplo Completo</w:t>
      </w:r>
    </w:p>
    <w:p>
      <w:r>
        <w:t>Exemplo ilustrativo: imóvel ofertado por R$ 191.651,31; valuation base R$ 300.000; custo econômico estimado R$ 220.000; margem R$ 80.000; desconto líquido ≈ 26,7%. Se o preço máximo de compra para uma estratégia de revenda for R$ 205.000 e para renda for R$ 230.000, o mesmo imóvel pode ser mais aderente à renda do que à revenda.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R$ 191.651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base</w:t>
            </w:r>
          </w:p>
        </w:tc>
        <w:tc>
          <w:tcPr>
            <w:tcW w:type="dxa" w:w="5112"/>
            <w:vAlign w:val="center"/>
          </w:tcPr>
          <w:p>
            <w:r>
              <w:t>R$ 300.000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</w:t>
            </w:r>
          </w:p>
        </w:tc>
        <w:tc>
          <w:tcPr>
            <w:tcW w:type="dxa" w:w="5112"/>
            <w:vAlign w:val="center"/>
          </w:tcPr>
          <w:p>
            <w:r>
              <w:t>R$ 220.000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26,7%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R$ 80.000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 — revenda</w:t>
            </w:r>
          </w:p>
        </w:tc>
        <w:tc>
          <w:tcPr>
            <w:tcW w:type="dxa" w:w="5112"/>
            <w:vAlign w:val="center"/>
          </w:tcPr>
          <w:p>
            <w:r>
              <w:t>R$ 205.000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 — renda</w:t>
            </w:r>
          </w:p>
        </w:tc>
        <w:tc>
          <w:tcPr>
            <w:tcW w:type="dxa" w:w="5112"/>
            <w:vAlign w:val="center"/>
          </w:tcPr>
          <w:p>
            <w:r>
              <w:t>R$ 230.000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Situação</w:t>
            </w:r>
          </w:p>
        </w:tc>
        <w:tc>
          <w:tcPr>
            <w:tcW w:type="dxa" w:w="5112"/>
            <w:vAlign w:val="center"/>
          </w:tcPr>
          <w:p>
            <w:r>
              <w:t>Dentro dos dois limites; priorização depende de score/risco/liquidez</w:t>
            </w:r>
          </w:p>
        </w:tc>
      </w:tr>
    </w:tbl>
    <w:p>
      <w:pPr>
        <w:pStyle w:val="Heading1"/>
      </w:pPr>
      <w:r>
        <w:t>31. Matriz de Decisão Econômica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≤ preço máximo + margem robusta</w:t>
            </w:r>
          </w:p>
        </w:tc>
        <w:tc>
          <w:tcPr>
            <w:tcW w:type="dxa" w:w="5112"/>
            <w:vAlign w:val="center"/>
          </w:tcPr>
          <w:p>
            <w:r>
              <w:t>Favorecer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próximo do máximo</w:t>
            </w:r>
          </w:p>
        </w:tc>
        <w:tc>
          <w:tcPr>
            <w:tcW w:type="dxa" w:w="5112"/>
            <w:vAlign w:val="center"/>
          </w:tcPr>
          <w:p>
            <w:r>
              <w:t>Monitorar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&gt; máximo</w:t>
            </w:r>
          </w:p>
        </w:tc>
        <w:tc>
          <w:tcPr>
            <w:tcW w:type="dxa" w:w="5112"/>
            <w:vAlign w:val="center"/>
          </w:tcPr>
          <w:p>
            <w:r>
              <w:t>DO NOT BUY na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inconclusivo</w:t>
            </w:r>
          </w:p>
        </w:tc>
        <w:tc>
          <w:tcPr>
            <w:tcW w:type="dxa" w:w="5112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alto, mas confiança baixa</w:t>
            </w:r>
          </w:p>
        </w:tc>
        <w:tc>
          <w:tcPr>
            <w:tcW w:type="dxa" w:w="5112"/>
            <w:vAlign w:val="center"/>
          </w:tcPr>
          <w:p>
            <w:r>
              <w:t>BUY IF/MONITOR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economia + alta liquidez + alta confiança</w:t>
            </w:r>
          </w:p>
        </w:tc>
        <w:tc>
          <w:tcPr>
            <w:tcW w:type="dxa" w:w="5112"/>
            <w:vAlign w:val="center"/>
          </w:tcPr>
          <w:p>
            <w:r>
              <w:t>Prioridade máxima</w:t>
            </w:r>
          </w:p>
        </w:tc>
      </w:tr>
    </w:tbl>
    <w:p>
      <w:pPr>
        <w:pStyle w:val="Heading1"/>
      </w:pPr>
      <w:r>
        <w:t>32. Dados Obrigatórios para Valuation</w:t>
      </w:r>
    </w:p>
    <w:p>
      <w:pPr>
        <w:pStyle w:val="ListBullet"/>
      </w:pPr>
      <w:r>
        <w:t>Imóvel identificado com confiança suficiente.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Tipo.</w:t>
      </w:r>
    </w:p>
    <w:p>
      <w:pPr>
        <w:pStyle w:val="ListBullet"/>
      </w:pPr>
      <w:r>
        <w:t>Área e tipo da área.</w:t>
      </w:r>
    </w:p>
    <w:p>
      <w:pPr>
        <w:pStyle w:val="ListBullet"/>
      </w:pPr>
      <w:r>
        <w:t>Características relevantes.</w:t>
      </w:r>
    </w:p>
    <w:p>
      <w:pPr>
        <w:pStyle w:val="ListBullet"/>
      </w:pPr>
      <w:r>
        <w:t>Comparáveis ou método alternativo explicitado.</w:t>
      </w:r>
    </w:p>
    <w:p>
      <w:pPr>
        <w:pStyle w:val="ListBullet"/>
      </w:pPr>
      <w:r>
        <w:t>Data dos dados de mercado.</w:t>
      </w:r>
    </w:p>
    <w:p>
      <w:pPr>
        <w:pStyle w:val="ListBullet"/>
      </w:pPr>
      <w:r>
        <w:t>Faixa de valor.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Premissas.</w:t>
      </w:r>
    </w:p>
    <w:p>
      <w:pPr>
        <w:pStyle w:val="ListBullet"/>
      </w:pPr>
      <w:r>
        <w:t>Custos relevantes para preço máximo.</w:t>
      </w:r>
    </w:p>
    <w:p>
      <w:pPr>
        <w:pStyle w:val="Heading1"/>
      </w:pPr>
      <w:r>
        <w:t>33. Critérios de Aceite</w:t>
      </w:r>
    </w:p>
    <w:p>
      <w:pPr>
        <w:pStyle w:val="ListBullet"/>
      </w:pPr>
      <w:r>
        <w:t>CA-D17 — O Radar diferencia preço de oferta e valor de mercado.</w:t>
      </w:r>
    </w:p>
    <w:p>
      <w:pPr>
        <w:pStyle w:val="ListBullet"/>
      </w:pPr>
      <w:r>
        <w:t>CA-D17 — Comparáveis possuem qualidade e relevância avaliadas.</w:t>
      </w:r>
    </w:p>
    <w:p>
      <w:pPr>
        <w:pStyle w:val="ListBullet"/>
      </w:pPr>
      <w:r>
        <w:t>CA-D17 — Preço anunciado não é tratado como preço transacionado.</w:t>
      </w:r>
    </w:p>
    <w:p>
      <w:pPr>
        <w:pStyle w:val="ListBullet"/>
      </w:pPr>
      <w:r>
        <w:t>CA-D17 — Valuation pode produzir faixa e não apenas valor pontual.</w:t>
      </w:r>
    </w:p>
    <w:p>
      <w:pPr>
        <w:pStyle w:val="ListBullet"/>
      </w:pPr>
      <w:r>
        <w:t>CA-D17 — Confiança acompanha o valuation.</w:t>
      </w:r>
    </w:p>
    <w:p>
      <w:pPr>
        <w:pStyle w:val="ListBullet"/>
      </w:pPr>
      <w:r>
        <w:t>CA-D17 — Custos econômicos são considerados antes de medir oportunidade.</w:t>
      </w:r>
    </w:p>
    <w:p>
      <w:pPr>
        <w:pStyle w:val="ListBullet"/>
      </w:pPr>
      <w:r>
        <w:t>CA-D17 — Desconto líquido é calculável.</w:t>
      </w:r>
    </w:p>
    <w:p>
      <w:pPr>
        <w:pStyle w:val="ListBullet"/>
      </w:pPr>
      <w:r>
        <w:t>CA-D17 — Margem de segurança é parametrizável.</w:t>
      </w:r>
    </w:p>
    <w:p>
      <w:pPr>
        <w:pStyle w:val="ListBullet"/>
      </w:pPr>
      <w:r>
        <w:t>CA-D17 — Preço máximo pode ser calculado por estratégia.</w:t>
      </w:r>
    </w:p>
    <w:p>
      <w:pPr>
        <w:pStyle w:val="ListBullet"/>
      </w:pPr>
      <w:r>
        <w:t>CA-D17 — O mesmo imóvel pode possuir preços máximos diferentes por estratégia.</w:t>
      </w:r>
    </w:p>
    <w:p>
      <w:pPr>
        <w:pStyle w:val="ListBullet"/>
      </w:pPr>
      <w:r>
        <w:t>CA-D17 — Valuation pode ser refeito após eventos materiais.</w:t>
      </w:r>
    </w:p>
    <w:p>
      <w:pPr>
        <w:pStyle w:val="ListBullet"/>
      </w:pPr>
      <w:r>
        <w:t>CA-D17 — Cenários conservador, base, otimista e estressado podem ser comparados.</w:t>
      </w:r>
    </w:p>
    <w:p>
      <w:pPr>
        <w:pStyle w:val="ListBullet"/>
      </w:pPr>
      <w:r>
        <w:t>CA-D17 — Dados insuficientes não geram falsa precisão.</w:t>
      </w:r>
    </w:p>
    <w:p>
      <w:pPr>
        <w:pStyle w:val="ListBullet"/>
      </w:pPr>
      <w:r>
        <w:t>CA-D17 — Liquidez influencia valor de saída e margem.</w:t>
      </w:r>
    </w:p>
    <w:p>
      <w:pPr>
        <w:pStyle w:val="ListBullet"/>
      </w:pPr>
      <w:r>
        <w:t>CA-D17 — Terrenos, casas, sobrados, apartamentos e MCMV podem ter métodos específicos.</w:t>
      </w:r>
    </w:p>
    <w:p>
      <w:pPr>
        <w:pStyle w:val="ListBullet"/>
      </w:pPr>
      <w:r>
        <w:t>CA-D17 — A decisão econômica pode ser explicada por comparáveis, premissas e custos.</w:t>
      </w:r>
    </w:p>
    <w:p>
      <w:pPr>
        <w:pStyle w:val="Heading1"/>
      </w:pPr>
      <w:r>
        <w:t>34. Relação com o Radar</w:t>
      </w:r>
    </w:p>
    <w:p>
      <w:r>
        <w:t>O Documento 17 transforma o imóvel consolidado do Documento 16 em uma unidade econômica comparável. A saída alimenta diretamente os módulos de Economia, Estratégia, Score, Ranking, Alertas e Due Diligence.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identificado</w:t>
            </w:r>
          </w:p>
        </w:tc>
        <w:tc>
          <w:tcPr>
            <w:tcW w:type="dxa" w:w="5112"/>
            <w:vAlign w:val="center"/>
          </w:tcPr>
          <w:p>
            <w:r>
              <w:t>Perfil de 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</w:t>
            </w:r>
          </w:p>
        </w:tc>
        <w:tc>
          <w:tcPr>
            <w:tcW w:type="dxa" w:w="5112"/>
            <w:vAlign w:val="center"/>
          </w:tcPr>
          <w:p>
            <w:r>
              <w:t>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</w:t>
            </w:r>
          </w:p>
        </w:tc>
        <w:tc>
          <w:tcPr>
            <w:tcW w:type="dxa" w:w="5112"/>
            <w:vAlign w:val="center"/>
          </w:tcPr>
          <w:p>
            <w:r>
              <w:t>Custo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Risco/confiança</w:t>
            </w:r>
          </w:p>
        </w:tc>
        <w:tc>
          <w:tcPr>
            <w:tcW w:type="dxa" w:w="5112"/>
            <w:vAlign w:val="center"/>
          </w:tcPr>
          <w:p>
            <w:r>
              <w:t>Margem requerida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</w:t>
            </w:r>
          </w:p>
        </w:tc>
        <w:tc>
          <w:tcPr>
            <w:tcW w:type="dxa" w:w="5112"/>
            <w:vAlign w:val="center"/>
          </w:tcPr>
          <w:p>
            <w:r>
              <w:t>Desconto líquido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Oportunidade relativa</w:t>
            </w:r>
          </w:p>
        </w:tc>
      </w:tr>
    </w:tbl>
    <w:p>
      <w:pPr>
        <w:pStyle w:val="Heading1"/>
      </w:pPr>
      <w:r>
        <w:t>35. Próximo Documento</w:t>
      </w:r>
    </w:p>
    <w:p>
      <w:r>
        <w:t>Recomendação: Documento 18 — Economia da Operação, Custos, Reforma, Rentabilidade, Margem e Cenários. O foco será aprofundar a matemática econômica depois do valuation: custo total, reforma, carregamento, aluguel, yield, revenda, retorno, sensibilidade e preço máximo.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17 | Mercado, Comparáveis, Valuation e Preço Máximo de Compra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