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💰 DOCUMENTO 2 — MODELO DE VALUATION E MERCADO</w:t>
      </w:r>
    </w:p>
    <w:p>
      <w:pPr>
        <w:jc w:val="center"/>
      </w:pPr>
      <w:r>
        <w:rPr>
          <w:b/>
          <w:sz w:val="30"/>
        </w:rPr>
        <w:t>Como o Radar estima quanto um imóvel realmente vale</w:t>
      </w:r>
    </w:p>
    <w:p>
      <w:pPr>
        <w:jc w:val="center"/>
      </w:pPr>
      <w:r>
        <w:rPr>
          <w:i/>
        </w:rPr>
        <w:t>Documento de negócio • Sem dependência tecnológica • Versão 1.0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o processo de negócio para estimar o valor econômico provável de um imóvel, determinar o intervalo razoável de mercado,</w:t>
        <w:br/>
        <w:t>medir a confiança da estimativa e utilizar esse resultado para identificar descontos reais. O valuation é a principal referência do</w:t>
        <w:br/>
        <w:t>Radar para diferenciar uma oferta aparentemente barata de uma oportunidade econômica verdadeira.</w:t>
      </w:r>
    </w:p>
    <w:p>
      <w:pPr>
        <w:pStyle w:val="Heading1"/>
      </w:pPr>
      <w:r>
        <w:t>2. Princípio fundamental</w:t>
      </w:r>
    </w:p>
    <w:p>
      <w:pPr>
        <w:jc w:val="center"/>
      </w:pPr>
      <w:r>
        <w:rPr>
          <w:b/>
        </w:rPr>
        <w:t>O valor da Caixa é uma referência. O mercado é a referência econômica principal.</w:t>
      </w:r>
    </w:p>
    <w:p>
      <w:r>
        <w:t>O valor informado pela fonte pode estar acima ou abaixo do mercado. Portanto, o Radar deve manter separadamente:</w:t>
        <w:br/>
        <w:t>valor da fonte, valor observado nos comparáveis, valor estimado pelo Radar, faixa de incerteza e nível de confiança.</w:t>
      </w:r>
    </w:p>
    <w:p>
      <w:pPr>
        <w:pStyle w:val="Heading1"/>
      </w:pPr>
      <w:r>
        <w:t>3. O que o valuation precisa responder</w:t>
      </w:r>
    </w:p>
    <w:p>
      <w:pPr>
        <w:pStyle w:val="ListNumber"/>
      </w:pPr>
      <w:r>
        <w:t>Qual seria o valor provável do imóvel em uma negociação normal?</w:t>
      </w:r>
    </w:p>
    <w:p>
      <w:pPr>
        <w:pStyle w:val="ListNumber"/>
      </w:pPr>
      <w:r>
        <w:t>Quais imóveis sustentam essa conclusão?</w:t>
      </w:r>
    </w:p>
    <w:p>
      <w:pPr>
        <w:pStyle w:val="ListNumber"/>
      </w:pPr>
      <w:r>
        <w:t>Quão semelhantes são esses imóveis?</w:t>
      </w:r>
    </w:p>
    <w:p>
      <w:pPr>
        <w:pStyle w:val="ListNumber"/>
      </w:pPr>
      <w:r>
        <w:t>Qual preço/m² é observado?</w:t>
      </w:r>
    </w:p>
    <w:p>
      <w:pPr>
        <w:pStyle w:val="ListNumber"/>
      </w:pPr>
      <w:r>
        <w:t>Quais ajustes são necessários?</w:t>
      </w:r>
    </w:p>
    <w:p>
      <w:pPr>
        <w:pStyle w:val="ListNumber"/>
      </w:pPr>
      <w:r>
        <w:t>Existem outliers?</w:t>
      </w:r>
    </w:p>
    <w:p>
      <w:pPr>
        <w:pStyle w:val="ListNumber"/>
      </w:pPr>
      <w:r>
        <w:t>Como o tempo alterou os preços?</w:t>
      </w:r>
    </w:p>
    <w:p>
      <w:pPr>
        <w:pStyle w:val="ListNumber"/>
      </w:pPr>
      <w:r>
        <w:t>Existe informação suficiente?</w:t>
      </w:r>
    </w:p>
    <w:p>
      <w:pPr>
        <w:pStyle w:val="ListNumber"/>
      </w:pPr>
      <w:r>
        <w:t>Qual é a faixa conservadora, base e otimista?</w:t>
      </w:r>
    </w:p>
    <w:p>
      <w:pPr>
        <w:pStyle w:val="ListNumber"/>
      </w:pPr>
      <w:r>
        <w:t>Qual é a confiança da estimativa?</w:t>
      </w:r>
    </w:p>
    <w:p>
      <w:pPr>
        <w:pStyle w:val="Heading1"/>
      </w:pPr>
      <w:r>
        <w:t>4. Hierarquia de evidências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Evidência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Peso conceitual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Mesmo condomínio, mesma tipologia e características muito semelhantes</w:t>
            </w:r>
          </w:p>
        </w:tc>
        <w:tc>
          <w:tcPr>
            <w:tcW w:type="dxa" w:w="3408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Mesmo condomínio, diferenças ajustáveis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Mesma microregião, imóvel muito semelhante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Mesmo bairro, características semelhantes</w:t>
            </w:r>
          </w:p>
        </w:tc>
        <w:tc>
          <w:tcPr>
            <w:tcW w:type="dxa" w:w="3408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Bairros/regiões próximas comparáveis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Mercado mais amplo/modelo estatístico</w:t>
            </w:r>
          </w:p>
        </w:tc>
        <w:tc>
          <w:tcPr>
            <w:tcW w:type="dxa" w:w="3408"/>
            <w:vAlign w:val="center"/>
          </w:tcPr>
          <w:p>
            <w:r>
              <w:t>Baixo/médio quando necessário</w:t>
            </w:r>
          </w:p>
        </w:tc>
      </w:tr>
    </w:tbl>
    <w:p/>
    <w:p>
      <w:r>
        <w:t>Quanto mais distante ou diferente o comparável, maior a necessidade de ajuste e menor a confiança.</w:t>
      </w:r>
    </w:p>
    <w:p>
      <w:pPr>
        <w:pStyle w:val="Heading1"/>
      </w:pPr>
      <w:r>
        <w:t>5. Unidade básica de comparação</w:t>
      </w:r>
    </w:p>
    <w:p>
      <w:r>
        <w:t>O Radar deve evitar comparar apenas preço total. A unidade de comparação normalmente será preço por m², complementada por</w:t>
        <w:br/>
        <w:t>características do imóvel. O preço/m² sozinho também não é suficiente: dois imóveis com o mesmo preço/m² podem possuir valores</w:t>
        <w:br/>
        <w:t>muito diferentes devido a localização, padrão, vagas, condomínio, idade e estado.</w:t>
      </w:r>
    </w:p>
    <w:p>
      <w:pPr>
        <w:pStyle w:val="Heading1"/>
      </w:pPr>
      <w:r>
        <w:t>6. Características do imóvel que afetam o valor</w:t>
      </w:r>
    </w:p>
    <w:p>
      <w:pPr>
        <w:pStyle w:val="ListBullet"/>
      </w:pPr>
      <w:r>
        <w:t>localização e micro-localização</w:t>
      </w:r>
    </w:p>
    <w:p>
      <w:pPr>
        <w:pStyle w:val="ListBullet"/>
      </w:pPr>
      <w:r>
        <w:t>área útil</w:t>
      </w:r>
    </w:p>
    <w:p>
      <w:pPr>
        <w:pStyle w:val="ListBullet"/>
      </w:pPr>
      <w:r>
        <w:t>área total</w:t>
      </w:r>
    </w:p>
    <w:p>
      <w:pPr>
        <w:pStyle w:val="ListBullet"/>
      </w:pPr>
      <w:r>
        <w:t>área do terreno, quando aplicável</w:t>
      </w:r>
    </w:p>
    <w:p>
      <w:pPr>
        <w:pStyle w:val="ListBullet"/>
      </w:pPr>
      <w:r>
        <w:t>quartos</w:t>
      </w:r>
    </w:p>
    <w:p>
      <w:pPr>
        <w:pStyle w:val="ListBullet"/>
      </w:pPr>
      <w:r>
        <w:t>suítes</w:t>
      </w:r>
    </w:p>
    <w:p>
      <w:pPr>
        <w:pStyle w:val="ListBullet"/>
      </w:pPr>
      <w:r>
        <w:t>banheiros</w:t>
      </w:r>
    </w:p>
    <w:p>
      <w:pPr>
        <w:pStyle w:val="ListBullet"/>
      </w:pPr>
      <w:r>
        <w:t>vagas</w:t>
      </w:r>
    </w:p>
    <w:p>
      <w:pPr>
        <w:pStyle w:val="ListBullet"/>
      </w:pPr>
      <w:r>
        <w:t>andar</w:t>
      </w:r>
    </w:p>
    <w:p>
      <w:pPr>
        <w:pStyle w:val="ListBullet"/>
      </w:pPr>
      <w:r>
        <w:t>posição</w:t>
      </w:r>
    </w:p>
    <w:p>
      <w:pPr>
        <w:pStyle w:val="ListBullet"/>
      </w:pPr>
      <w:r>
        <w:t>elevador</w:t>
      </w:r>
    </w:p>
    <w:p>
      <w:pPr>
        <w:pStyle w:val="ListBullet"/>
      </w:pPr>
      <w:r>
        <w:t>varanda</w:t>
      </w:r>
    </w:p>
    <w:p>
      <w:pPr>
        <w:pStyle w:val="ListBullet"/>
      </w:pPr>
      <w:r>
        <w:t>condomínio</w:t>
      </w:r>
    </w:p>
    <w:p>
      <w:pPr>
        <w:pStyle w:val="ListBullet"/>
      </w:pPr>
      <w:r>
        <w:t>idade</w:t>
      </w:r>
    </w:p>
    <w:p>
      <w:pPr>
        <w:pStyle w:val="ListBullet"/>
      </w:pPr>
      <w:r>
        <w:t>estado de conservação</w:t>
      </w:r>
    </w:p>
    <w:p>
      <w:pPr>
        <w:pStyle w:val="ListBullet"/>
      </w:pPr>
      <w:r>
        <w:t>padrão construtivo</w:t>
      </w:r>
    </w:p>
    <w:p>
      <w:pPr>
        <w:pStyle w:val="ListBullet"/>
      </w:pPr>
      <w:r>
        <w:t>vista e insolação quando relevantes</w:t>
      </w:r>
    </w:p>
    <w:p>
      <w:pPr>
        <w:pStyle w:val="ListBullet"/>
      </w:pPr>
      <w:r>
        <w:t>infraestrutura do condomínio</w:t>
      </w:r>
    </w:p>
    <w:p>
      <w:pPr>
        <w:pStyle w:val="ListBullet"/>
      </w:pPr>
      <w:r>
        <w:t>características específicas do imóvel</w:t>
      </w:r>
    </w:p>
    <w:p>
      <w:pPr>
        <w:pStyle w:val="Heading1"/>
      </w:pPr>
      <w:r>
        <w:t>7. Localização — ajuste de valor</w:t>
      </w:r>
    </w:p>
    <w:p>
      <w:r>
        <w:t>A localização deve ser analisada em diferentes níveis.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Cidade</w:t>
            </w:r>
          </w:p>
        </w:tc>
        <w:tc>
          <w:tcPr>
            <w:tcW w:type="dxa" w:w="3408"/>
            <w:vAlign w:val="center"/>
          </w:tcPr>
          <w:p>
            <w:r>
              <w:t>Curitiba</w:t>
            </w:r>
          </w:p>
        </w:tc>
        <w:tc>
          <w:tcPr>
            <w:tcW w:type="dxa" w:w="3408"/>
            <w:vAlign w:val="center"/>
          </w:tcPr>
          <w:p>
            <w:r>
              <w:t>Contexto macro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Bairro</w:t>
            </w:r>
          </w:p>
        </w:tc>
        <w:tc>
          <w:tcPr>
            <w:tcW w:type="dxa" w:w="3408"/>
            <w:vAlign w:val="center"/>
          </w:tcPr>
          <w:p>
            <w:r>
              <w:t>Xaxim</w:t>
            </w:r>
          </w:p>
        </w:tc>
        <w:tc>
          <w:tcPr>
            <w:tcW w:type="dxa" w:w="3408"/>
            <w:vAlign w:val="center"/>
          </w:tcPr>
          <w:p>
            <w:r>
              <w:t>Referência principal</w:t>
            </w:r>
          </w:p>
        </w:tc>
      </w:tr>
      <w:tr>
        <w:tc>
          <w:tcPr>
            <w:tcW w:type="dxa" w:w="3408"/>
            <w:vAlign w:val="center"/>
          </w:tcPr>
          <w:p>
            <w:r>
              <w:t>Microregião</w:t>
            </w:r>
          </w:p>
        </w:tc>
        <w:tc>
          <w:tcPr>
            <w:tcW w:type="dxa" w:w="3408"/>
            <w:vAlign w:val="center"/>
          </w:tcPr>
          <w:p>
            <w:r>
              <w:t>500m–1km</w:t>
            </w:r>
          </w:p>
        </w:tc>
        <w:tc>
          <w:tcPr>
            <w:tcW w:type="dxa" w:w="3408"/>
            <w:vAlign w:val="center"/>
          </w:tcPr>
          <w:p>
            <w:r>
              <w:t>Ajuste relevante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Condomínio</w:t>
            </w:r>
          </w:p>
        </w:tc>
        <w:tc>
          <w:tcPr>
            <w:tcW w:type="dxa" w:w="3408"/>
            <w:vAlign w:val="center"/>
          </w:tcPr>
          <w:p>
            <w:r>
              <w:t>mesmo residencial</w:t>
            </w:r>
          </w:p>
        </w:tc>
        <w:tc>
          <w:tcPr>
            <w:tcW w:type="dxa" w:w="3408"/>
            <w:vAlign w:val="center"/>
          </w:tcPr>
          <w:p>
            <w:r>
              <w:t>Evidência prioritária</w:t>
            </w:r>
          </w:p>
        </w:tc>
      </w:tr>
      <w:tr>
        <w:tc>
          <w:tcPr>
            <w:tcW w:type="dxa" w:w="3408"/>
            <w:vAlign w:val="center"/>
          </w:tcPr>
          <w:p>
            <w:r>
              <w:t>Entorno</w:t>
            </w:r>
          </w:p>
        </w:tc>
        <w:tc>
          <w:tcPr>
            <w:tcW w:type="dxa" w:w="3408"/>
            <w:vAlign w:val="center"/>
          </w:tcPr>
          <w:p>
            <w:r>
              <w:t>comércio/transporte/serviços</w:t>
            </w:r>
          </w:p>
        </w:tc>
        <w:tc>
          <w:tcPr>
            <w:tcW w:type="dxa" w:w="3408"/>
            <w:vAlign w:val="center"/>
          </w:tcPr>
          <w:p>
            <w:r>
              <w:t>Ajuste contextual</w:t>
            </w:r>
          </w:p>
        </w:tc>
      </w:tr>
      <w:tr>
        <w:tc>
          <w:tcPr>
            <w:tcW w:type="dxa" w:w="3408"/>
            <w:vAlign w:val="center"/>
          </w:tcPr>
          <w:p>
            <w:r>
              <w:t>Rua/micro-localização</w:t>
            </w:r>
          </w:p>
        </w:tc>
        <w:tc>
          <w:tcPr>
            <w:tcW w:type="dxa" w:w="3408"/>
            <w:vAlign w:val="center"/>
          </w:tcPr>
          <w:p>
            <w:r>
              <w:t>posição específica</w:t>
            </w:r>
          </w:p>
        </w:tc>
        <w:tc>
          <w:tcPr>
            <w:tcW w:type="dxa" w:w="3408"/>
            <w:vAlign w:val="center"/>
          </w:tcPr>
          <w:p>
            <w:r>
              <w:t>Ajuste fino</w:t>
            </w:r>
          </w:p>
        </w:tc>
      </w:tr>
    </w:tbl>
    <w:p/>
    <w:p>
      <w:pPr>
        <w:pStyle w:val="Heading1"/>
      </w:pPr>
      <w:r>
        <w:t>8. Comparáveis — requisitos mínimos</w:t>
      </w:r>
    </w:p>
    <w:p>
      <w:r>
        <w:t>Um comparável deve ser utilizado somente quando houver justificativa de similaridade.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Tipo</w:t>
            </w:r>
          </w:p>
        </w:tc>
        <w:tc>
          <w:tcPr>
            <w:tcW w:type="dxa" w:w="5112"/>
            <w:vAlign w:val="center"/>
          </w:tcPr>
          <w:p>
            <w:r>
              <w:t>É o mesmo tipo de imóvel?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Está suficientemente próximo?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</w:t>
            </w:r>
          </w:p>
        </w:tc>
        <w:tc>
          <w:tcPr>
            <w:tcW w:type="dxa" w:w="5112"/>
            <w:vAlign w:val="center"/>
          </w:tcPr>
          <w:p>
            <w:r>
              <w:t>A diferença de área é aceitável?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Quartos</w:t>
            </w:r>
          </w:p>
        </w:tc>
        <w:tc>
          <w:tcPr>
            <w:tcW w:type="dxa" w:w="5112"/>
            <w:vAlign w:val="center"/>
          </w:tcPr>
          <w:p>
            <w:r>
              <w:t>Tem composição semelhante?</w:t>
            </w:r>
          </w:p>
        </w:tc>
      </w:tr>
      <w:tr>
        <w:tc>
          <w:tcPr>
            <w:tcW w:type="dxa" w:w="5112"/>
            <w:vAlign w:val="center"/>
          </w:tcPr>
          <w:p>
            <w:r>
              <w:t>Vagas</w:t>
            </w:r>
          </w:p>
        </w:tc>
        <w:tc>
          <w:tcPr>
            <w:tcW w:type="dxa" w:w="5112"/>
            <w:vAlign w:val="center"/>
          </w:tcPr>
          <w:p>
            <w:r>
              <w:t>Tem quantidade comparável?</w:t>
            </w:r>
          </w:p>
        </w:tc>
      </w:tr>
      <w:tr>
        <w:tc>
          <w:tcPr>
            <w:tcW w:type="dxa" w:w="5112"/>
            <w:vAlign w:val="center"/>
          </w:tcPr>
          <w:p>
            <w:r>
              <w:t>Padrão</w:t>
            </w:r>
          </w:p>
        </w:tc>
        <w:tc>
          <w:tcPr>
            <w:tcW w:type="dxa" w:w="5112"/>
            <w:vAlign w:val="center"/>
          </w:tcPr>
          <w:p>
            <w:r>
              <w:t>Possui padrão semelhante?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Estado</w:t>
            </w:r>
          </w:p>
        </w:tc>
        <w:tc>
          <w:tcPr>
            <w:tcW w:type="dxa" w:w="5112"/>
            <w:vAlign w:val="center"/>
          </w:tcPr>
          <w:p>
            <w:r>
              <w:t>Conservação semelhante?</w:t>
            </w:r>
          </w:p>
        </w:tc>
      </w:tr>
      <w:tr>
        <w:tc>
          <w:tcPr>
            <w:tcW w:type="dxa" w:w="5112"/>
            <w:vAlign w:val="center"/>
          </w:tcPr>
          <w:p>
            <w:r>
              <w:t>Idade</w:t>
            </w:r>
          </w:p>
        </w:tc>
        <w:tc>
          <w:tcPr>
            <w:tcW w:type="dxa" w:w="5112"/>
            <w:vAlign w:val="center"/>
          </w:tcPr>
          <w:p>
            <w:r>
              <w:t>Idade comparável?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</w:t>
            </w:r>
          </w:p>
        </w:tc>
        <w:tc>
          <w:tcPr>
            <w:tcW w:type="dxa" w:w="5112"/>
            <w:vAlign w:val="center"/>
          </w:tcPr>
          <w:p>
            <w:r>
              <w:t>Custos/estrutura comparáveis?</w:t>
            </w:r>
          </w:p>
        </w:tc>
      </w:tr>
      <w:tr>
        <w:tc>
          <w:tcPr>
            <w:tcW w:type="dxa" w:w="5112"/>
            <w:vAlign w:val="center"/>
          </w:tcPr>
          <w:p>
            <w:r>
              <w:t>Atualidade</w:t>
            </w:r>
          </w:p>
        </w:tc>
        <w:tc>
          <w:tcPr>
            <w:tcW w:type="dxa" w:w="5112"/>
            <w:vAlign w:val="center"/>
          </w:tcPr>
          <w:p>
            <w:r>
              <w:t>Preço ainda representa o mercado atual?</w:t>
            </w:r>
          </w:p>
        </w:tc>
      </w:tr>
    </w:tbl>
    <w:p/>
    <w:p>
      <w:pPr>
        <w:pStyle w:val="Heading1"/>
      </w:pPr>
      <w:r>
        <w:t>9. Qualidade do comparável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A</w:t>
            </w:r>
          </w:p>
        </w:tc>
        <w:tc>
          <w:tcPr>
            <w:tcW w:type="dxa" w:w="5112"/>
            <w:vAlign w:val="center"/>
          </w:tcPr>
          <w:p>
            <w:r>
              <w:t>Quase equivalente ao imóvel avaliado.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B</w:t>
            </w:r>
          </w:p>
        </w:tc>
        <w:tc>
          <w:tcPr>
            <w:tcW w:type="dxa" w:w="5112"/>
            <w:vAlign w:val="center"/>
          </w:tcPr>
          <w:p>
            <w:r>
              <w:t>Muito semelhante, com diferenças ajustáveis.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</w:t>
            </w:r>
          </w:p>
        </w:tc>
        <w:tc>
          <w:tcPr>
            <w:tcW w:type="dxa" w:w="5112"/>
            <w:vAlign w:val="center"/>
          </w:tcPr>
          <w:p>
            <w:r>
              <w:t>Semelhante, mas com diferenças relevantes.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</w:t>
            </w:r>
          </w:p>
        </w:tc>
        <w:tc>
          <w:tcPr>
            <w:tcW w:type="dxa" w:w="5112"/>
            <w:vAlign w:val="center"/>
          </w:tcPr>
          <w:p>
            <w:r>
              <w:t>Referência fraca; utilizar somente se necessário.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</w:t>
            </w:r>
          </w:p>
        </w:tc>
        <w:tc>
          <w:tcPr>
            <w:tcW w:type="dxa" w:w="5112"/>
            <w:vAlign w:val="center"/>
          </w:tcPr>
          <w:p>
            <w:r>
              <w:t>Não utilizar.</w:t>
            </w:r>
          </w:p>
        </w:tc>
      </w:tr>
    </w:tbl>
    <w:p/>
    <w:p>
      <w:pPr>
        <w:pStyle w:val="Heading1"/>
      </w:pPr>
      <w:r>
        <w:t>10. Quantidade de comparáveis</w:t>
      </w:r>
    </w:p>
    <w:p>
      <w:r>
        <w:t>Quantidade não substitui qualidade.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1–2 comparáveis fortes</w:t>
            </w:r>
          </w:p>
        </w:tc>
        <w:tc>
          <w:tcPr>
            <w:tcW w:type="dxa" w:w="5112"/>
            <w:vAlign w:val="center"/>
          </w:tcPr>
          <w:p>
            <w:r>
              <w:t>Pode indicar faixa, mas confiança limitada.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3–5 bons comparáveis</w:t>
            </w:r>
          </w:p>
        </w:tc>
        <w:tc>
          <w:tcPr>
            <w:tcW w:type="dxa" w:w="5112"/>
            <w:vAlign w:val="center"/>
          </w:tcPr>
          <w:p>
            <w:r>
              <w:t>Base inicial razoável.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6–10 bons comparáveis</w:t>
            </w:r>
          </w:p>
        </w:tc>
        <w:tc>
          <w:tcPr>
            <w:tcW w:type="dxa" w:w="5112"/>
            <w:vAlign w:val="center"/>
          </w:tcPr>
          <w:p>
            <w:r>
              <w:t>Base consistente.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10+ bons comparáveis</w:t>
            </w:r>
          </w:p>
        </w:tc>
        <w:tc>
          <w:tcPr>
            <w:tcW w:type="dxa" w:w="5112"/>
            <w:vAlign w:val="center"/>
          </w:tcPr>
          <w:p>
            <w:r>
              <w:t>Boa sustentação, desde que não sejam redundantes.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Muitos comparáveis fracos</w:t>
            </w:r>
          </w:p>
        </w:tc>
        <w:tc>
          <w:tcPr>
            <w:tcW w:type="dxa" w:w="5112"/>
            <w:vAlign w:val="center"/>
          </w:tcPr>
          <w:p>
            <w:r>
              <w:t>Não significa alta confiança.</w:t>
            </w:r>
          </w:p>
        </w:tc>
      </w:tr>
    </w:tbl>
    <w:p/>
    <w:p>
      <w:pPr>
        <w:pStyle w:val="Heading1"/>
      </w:pPr>
      <w:r>
        <w:t>11. Diversidade dos comparáveis</w:t>
      </w:r>
    </w:p>
    <w:p>
      <w:r>
        <w:t>O Radar deve evitar uma amostra artificialmente concentrada. Quando possível, combinar comparáveis do mesmo condomínio com referências externas ajuda a validar se o preço interno é coerente com o mercado.</w:t>
      </w:r>
    </w:p>
    <w:p>
      <w:pPr>
        <w:pStyle w:val="Heading1"/>
      </w:pPr>
      <w:r>
        <w:t>12. Preço anunciado x preço de negociação</w:t>
      </w:r>
    </w:p>
    <w:p>
      <w:r>
        <w:t>Preço anunciado pode conter margem de negociação. Quando o Radar possuir evidência de preço efetivamente transacionado, essa</w:t>
        <w:br/>
        <w:t>informação deve receber maior peso. Quando só houver preço anunciado, o sistema deve registrar explicitamente essa limitação.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Evidência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Força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Transação observada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efetivamente negociado conhecido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 recente comparável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Anúncio antigo</w:t>
            </w:r>
          </w:p>
        </w:tc>
        <w:tc>
          <w:tcPr>
            <w:tcW w:type="dxa" w:w="5112"/>
            <w:vAlign w:val="center"/>
          </w:tcPr>
          <w:p>
            <w:r>
              <w:t>Média/baixa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sem data confiável</w:t>
            </w:r>
          </w:p>
        </w:tc>
        <w:tc>
          <w:tcPr>
            <w:tcW w:type="dxa" w:w="5112"/>
            <w:vAlign w:val="center"/>
          </w:tcPr>
          <w:p>
            <w:r>
              <w:t>Baixa</w:t>
            </w:r>
          </w:p>
        </w:tc>
      </w:tr>
    </w:tbl>
    <w:p/>
    <w:p>
      <w:pPr>
        <w:pStyle w:val="Heading1"/>
      </w:pPr>
      <w:r>
        <w:t>13. Temporalidade</w:t>
      </w:r>
    </w:p>
    <w:p>
      <w:r>
        <w:t>Um comparável de dois anos atrás não deve ser tratado como equivalente a um comparável atual sem ajuste.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Idade do dado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 conceitual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recente</w:t>
            </w:r>
          </w:p>
        </w:tc>
        <w:tc>
          <w:tcPr>
            <w:tcW w:type="dxa" w:w="5112"/>
            <w:vAlign w:val="center"/>
          </w:tcPr>
          <w:p>
            <w:r>
              <w:t>Peso máximo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Recente</w:t>
            </w:r>
          </w:p>
        </w:tc>
        <w:tc>
          <w:tcPr>
            <w:tcW w:type="dxa" w:w="5112"/>
            <w:vAlign w:val="center"/>
          </w:tcPr>
          <w:p>
            <w:r>
              <w:t>Peso 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Moderado</w:t>
            </w:r>
          </w:p>
        </w:tc>
        <w:tc>
          <w:tcPr>
            <w:tcW w:type="dxa" w:w="5112"/>
            <w:vAlign w:val="center"/>
          </w:tcPr>
          <w:p>
            <w:r>
              <w:t>Peso reduzido</w:t>
            </w:r>
          </w:p>
        </w:tc>
      </w:tr>
      <w:tr>
        <w:tc>
          <w:tcPr>
            <w:tcW w:type="dxa" w:w="5112"/>
            <w:vAlign w:val="center"/>
          </w:tcPr>
          <w:p>
            <w:r>
              <w:t>Antigo</w:t>
            </w:r>
          </w:p>
        </w:tc>
        <w:tc>
          <w:tcPr>
            <w:tcW w:type="dxa" w:w="5112"/>
            <w:vAlign w:val="center"/>
          </w:tcPr>
          <w:p>
            <w:r>
              <w:t>Ajustar ou reduzir fortemente o peso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antigo</w:t>
            </w:r>
          </w:p>
        </w:tc>
        <w:tc>
          <w:tcPr>
            <w:tcW w:type="dxa" w:w="5112"/>
            <w:vAlign w:val="center"/>
          </w:tcPr>
          <w:p>
            <w:r>
              <w:t>Excluir salvo ausência de mercado melhor</w:t>
            </w:r>
          </w:p>
        </w:tc>
      </w:tr>
    </w:tbl>
    <w:p/>
    <w:p>
      <w:pPr>
        <w:pStyle w:val="Heading1"/>
      </w:pPr>
      <w:r>
        <w:t>14. Ajuste temporal</w:t>
      </w:r>
    </w:p>
    <w:p>
      <w:r>
        <w:t>Quando houver evidência de mudança do mercado, o preço histórico deve ser ajustado para uma referência atual. O ajuste deve ser</w:t>
        <w:br/>
        <w:t>baseado em comportamento observado na região/tipologia, e não em uma suposição genérica de valorização.</w:t>
      </w:r>
    </w:p>
    <w:p>
      <w:r>
        <w:t>Exemplo conceitual: comparável histórico de R$ 280 mil → indicador de mercado acumulou +8% → referência ajustada ≈ R$ 302,4 mil.</w:t>
      </w:r>
    </w:p>
    <w:p>
      <w:pPr>
        <w:pStyle w:val="Heading1"/>
      </w:pPr>
      <w:r>
        <w:t>15. Ajustes por área</w:t>
      </w:r>
    </w:p>
    <w:p>
      <w:r>
        <w:t>Imóveis menores podem apresentar preço/m² diferente de imóveis maiores. O Radar não deve assumir linearidade perfeita entre área</w:t>
        <w:br/>
        <w:t>e preço. O ajuste deve ser calibrado por segmento.</w:t>
      </w:r>
    </w:p>
    <w:p>
      <w:r>
        <w:t>Regra: comparar preferencialmente imóveis dentro de uma faixa de área semelhante e usar ajustes apenas quando houver evidência suficiente.</w:t>
      </w:r>
    </w:p>
    <w:p>
      <w:pPr>
        <w:pStyle w:val="Heading1"/>
      </w:pPr>
      <w:r>
        <w:t>16. Ajuste por quartos</w:t>
      </w:r>
    </w:p>
    <w:p>
      <w:r>
        <w:t>Quartos alteram o público consumidor e podem alterar preço/m². Comparar 1 quarto com 3 quartos diretamente reduz a qualidade da avaliação.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número de quartos</w:t>
            </w:r>
          </w:p>
        </w:tc>
        <w:tc>
          <w:tcPr>
            <w:tcW w:type="dxa" w:w="5112"/>
            <w:vAlign w:val="center"/>
          </w:tcPr>
          <w:p>
            <w:r>
              <w:t>Melhor comparável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Diferença de 1 quarto</w:t>
            </w:r>
          </w:p>
        </w:tc>
        <w:tc>
          <w:tcPr>
            <w:tcW w:type="dxa" w:w="5112"/>
            <w:vAlign w:val="center"/>
          </w:tcPr>
          <w:p>
            <w:r>
              <w:t>Usar somente com ajuste/evidência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Diferença grande</w:t>
            </w:r>
          </w:p>
        </w:tc>
        <w:tc>
          <w:tcPr>
            <w:tcW w:type="dxa" w:w="5112"/>
            <w:vAlign w:val="center"/>
          </w:tcPr>
          <w:p>
            <w:r>
              <w:t>Preferir outro comparável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especializado</w:t>
            </w:r>
          </w:p>
        </w:tc>
        <w:tc>
          <w:tcPr>
            <w:tcW w:type="dxa" w:w="5112"/>
            <w:vAlign w:val="center"/>
          </w:tcPr>
          <w:p>
            <w:r>
              <w:t>Avaliar por estratégia e demanda</w:t>
            </w:r>
          </w:p>
        </w:tc>
      </w:tr>
    </w:tbl>
    <w:p/>
    <w:p>
      <w:pPr>
        <w:pStyle w:val="Heading1"/>
      </w:pPr>
      <w:r>
        <w:t>17. Ajuste por vagas</w:t>
      </w:r>
    </w:p>
    <w:p>
      <w:r>
        <w:t>Vagas podem possuir impacto relevante e diferente por região. O ajuste deve ser baseado em comparáveis locais.</w:t>
      </w:r>
    </w:p>
    <w:p>
      <w:pPr>
        <w:pStyle w:val="ListBullet"/>
      </w:pPr>
      <w:r>
        <w:t>1 vaga vs 2 vagas</w:t>
      </w:r>
    </w:p>
    <w:p>
      <w:pPr>
        <w:pStyle w:val="ListBullet"/>
      </w:pPr>
      <w:r>
        <w:t>vaga coberta vs descoberta</w:t>
      </w:r>
    </w:p>
    <w:p>
      <w:pPr>
        <w:pStyle w:val="ListBullet"/>
      </w:pPr>
      <w:r>
        <w:t>vaga livre vs presa</w:t>
      </w:r>
    </w:p>
    <w:p>
      <w:pPr>
        <w:pStyle w:val="ListBullet"/>
      </w:pPr>
      <w:r>
        <w:t>ausência de vaga</w:t>
      </w:r>
    </w:p>
    <w:p>
      <w:pPr>
        <w:pStyle w:val="ListBullet"/>
      </w:pPr>
      <w:r>
        <w:t>características de acesso</w:t>
      </w:r>
    </w:p>
    <w:p>
      <w:pPr>
        <w:pStyle w:val="Heading1"/>
      </w:pPr>
      <w:r>
        <w:t>18. Ajuste por padrão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Padrão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Econômico</w:t>
            </w:r>
          </w:p>
        </w:tc>
        <w:tc>
          <w:tcPr>
            <w:tcW w:type="dxa" w:w="5112"/>
            <w:vAlign w:val="center"/>
          </w:tcPr>
          <w:p>
            <w:r>
              <w:t>Acabamento simples, público de entrada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Médio</w:t>
            </w:r>
          </w:p>
        </w:tc>
        <w:tc>
          <w:tcPr>
            <w:tcW w:type="dxa" w:w="5112"/>
            <w:vAlign w:val="center"/>
          </w:tcPr>
          <w:p>
            <w:r>
              <w:t>Padrão intermediário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Superior</w:t>
            </w:r>
          </w:p>
        </w:tc>
        <w:tc>
          <w:tcPr>
            <w:tcW w:type="dxa" w:w="5112"/>
            <w:vAlign w:val="center"/>
          </w:tcPr>
          <w:p>
            <w:r>
              <w:t>Acabamento/infraestrutura superiores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Alto padrão</w:t>
            </w:r>
          </w:p>
        </w:tc>
        <w:tc>
          <w:tcPr>
            <w:tcW w:type="dxa" w:w="5112"/>
            <w:vAlign w:val="center"/>
          </w:tcPr>
          <w:p>
            <w:r>
              <w:t>Características premium</w:t>
            </w:r>
          </w:p>
        </w:tc>
      </w:tr>
      <w:tr>
        <w:tc>
          <w:tcPr>
            <w:tcW w:type="dxa" w:w="5112"/>
            <w:vAlign w:val="center"/>
          </w:tcPr>
          <w:p>
            <w:r>
              <w:t>Luxo</w:t>
            </w:r>
          </w:p>
        </w:tc>
        <w:tc>
          <w:tcPr>
            <w:tcW w:type="dxa" w:w="5112"/>
            <w:vAlign w:val="center"/>
          </w:tcPr>
          <w:p>
            <w:r>
              <w:t>Mercado muito específico</w:t>
            </w:r>
          </w:p>
        </w:tc>
      </w:tr>
    </w:tbl>
    <w:p/>
    <w:p>
      <w:r>
        <w:t>Imóveis de padrões diferentes não devem ser misturados sem forte justificativa.</w:t>
      </w:r>
    </w:p>
    <w:p>
      <w:pPr>
        <w:pStyle w:val="Heading1"/>
      </w:pPr>
      <w:r>
        <w:t>19. Ajuste por estado de conservação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Impacto no 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Novo/pronto</w:t>
            </w:r>
          </w:p>
        </w:tc>
        <w:tc>
          <w:tcPr>
            <w:tcW w:type="dxa" w:w="5112"/>
            <w:vAlign w:val="center"/>
          </w:tcPr>
          <w:p>
            <w:r>
              <w:t>Referência positiva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Bom</w:t>
            </w:r>
          </w:p>
        </w:tc>
        <w:tc>
          <w:tcPr>
            <w:tcW w:type="dxa" w:w="5112"/>
            <w:vAlign w:val="center"/>
          </w:tcPr>
          <w:p>
            <w:r>
              <w:t>Pequeno ajuste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Regular</w:t>
            </w:r>
          </w:p>
        </w:tc>
        <w:tc>
          <w:tcPr>
            <w:tcW w:type="dxa" w:w="5112"/>
            <w:vAlign w:val="center"/>
          </w:tcPr>
          <w:p>
            <w:r>
              <w:t>Ajuste moderado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leve</w:t>
            </w:r>
          </w:p>
        </w:tc>
        <w:tc>
          <w:tcPr>
            <w:tcW w:type="dxa" w:w="5112"/>
            <w:vAlign w:val="center"/>
          </w:tcPr>
          <w:p>
            <w:r>
              <w:t>Redução correspondente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média</w:t>
            </w:r>
          </w:p>
        </w:tc>
        <w:tc>
          <w:tcPr>
            <w:tcW w:type="dxa" w:w="5112"/>
            <w:vAlign w:val="center"/>
          </w:tcPr>
          <w:p>
            <w:r>
              <w:t>Redução relevante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pesada</w:t>
            </w:r>
          </w:p>
        </w:tc>
        <w:tc>
          <w:tcPr>
            <w:tcW w:type="dxa" w:w="5112"/>
            <w:vAlign w:val="center"/>
          </w:tcPr>
          <w:p>
            <w:r>
              <w:t>Grande ajuste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Estado incerto</w:t>
            </w:r>
          </w:p>
        </w:tc>
        <w:tc>
          <w:tcPr>
            <w:tcW w:type="dxa" w:w="5112"/>
            <w:vAlign w:val="center"/>
          </w:tcPr>
          <w:p>
            <w:r>
              <w:t>Reduz confiança e exige reserva</w:t>
            </w:r>
          </w:p>
        </w:tc>
      </w:tr>
    </w:tbl>
    <w:p/>
    <w:p>
      <w:pPr>
        <w:pStyle w:val="Heading1"/>
      </w:pPr>
      <w:r>
        <w:t>20. Condomínio</w:t>
      </w:r>
    </w:p>
    <w:p>
      <w:r>
        <w:t>Condomínio é simultaneamente um componente de valor e de atratividade. Um condomínio elevado pode reduzir a capacidade de aluguel</w:t>
        <w:br/>
        <w:t>e o universo de compradores, enquanto uma estrutura excelente pode aumentar a atratividade.</w:t>
      </w:r>
    </w:p>
    <w:p>
      <w:pPr>
        <w:pStyle w:val="ListBullet"/>
      </w:pPr>
      <w:r>
        <w:t>valor mensal</w:t>
      </w:r>
    </w:p>
    <w:p>
      <w:pPr>
        <w:pStyle w:val="ListBullet"/>
      </w:pPr>
      <w:r>
        <w:t>taxas extraordinárias</w:t>
      </w:r>
    </w:p>
    <w:p>
      <w:pPr>
        <w:pStyle w:val="ListBullet"/>
      </w:pPr>
      <w:r>
        <w:t>estrutura</w:t>
      </w:r>
    </w:p>
    <w:p>
      <w:pPr>
        <w:pStyle w:val="ListBullet"/>
      </w:pPr>
      <w:r>
        <w:t>idade</w:t>
      </w:r>
    </w:p>
    <w:p>
      <w:pPr>
        <w:pStyle w:val="ListBullet"/>
      </w:pPr>
      <w:r>
        <w:t>manutenção</w:t>
      </w:r>
    </w:p>
    <w:p>
      <w:pPr>
        <w:pStyle w:val="ListBullet"/>
      </w:pPr>
      <w:r>
        <w:t>inadimplência quando disponível</w:t>
      </w:r>
    </w:p>
    <w:p>
      <w:pPr>
        <w:pStyle w:val="ListBullet"/>
      </w:pPr>
      <w:r>
        <w:t>obras previstas</w:t>
      </w:r>
    </w:p>
    <w:p>
      <w:pPr>
        <w:pStyle w:val="ListBullet"/>
      </w:pPr>
      <w:r>
        <w:t>qualidade das áreas comuns</w:t>
      </w:r>
    </w:p>
    <w:p>
      <w:pPr>
        <w:pStyle w:val="Heading1"/>
      </w:pPr>
      <w:r>
        <w:t>21. Imóveis no mesmo condomínio</w:t>
      </w:r>
    </w:p>
    <w:p>
      <w:r>
        <w:t>Quando existirem diversos comparáveis no mesmo condomínio, eles devem receber prioridade. Porém, o Radar deve verificar se o</w:t>
        <w:br/>
        <w:t>condomínio possui distorção própria. Se todas as unidades estiverem superavaliadas, comparar apenas internamente perpetua o erro.</w:t>
      </w:r>
    </w:p>
    <w:p>
      <w:pPr>
        <w:pStyle w:val="Heading1"/>
      </w:pPr>
      <w:r>
        <w:t>22. Outliers</w:t>
      </w:r>
    </w:p>
    <w:p>
      <w:r>
        <w:t>Preços extremos não devem ser incorporados automaticamente.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Outlier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acima do padrão</w:t>
            </w:r>
          </w:p>
        </w:tc>
        <w:tc>
          <w:tcPr>
            <w:tcW w:type="dxa" w:w="5112"/>
            <w:vAlign w:val="center"/>
          </w:tcPr>
          <w:p>
            <w:r>
              <w:t>Investigar motivo; excluir se inexplicado.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abaixo do padrão</w:t>
            </w:r>
          </w:p>
        </w:tc>
        <w:tc>
          <w:tcPr>
            <w:tcW w:type="dxa" w:w="5112"/>
            <w:vAlign w:val="center"/>
          </w:tcPr>
          <w:p>
            <w:r>
              <w:t>Investigar urgência, defeito ou condição especial.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Anúncio duplicado</w:t>
            </w:r>
          </w:p>
        </w:tc>
        <w:tc>
          <w:tcPr>
            <w:tcW w:type="dxa" w:w="5112"/>
            <w:vAlign w:val="center"/>
          </w:tcPr>
          <w:p>
            <w:r>
              <w:t>Deduplicar.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claramente diferente</w:t>
            </w:r>
          </w:p>
        </w:tc>
        <w:tc>
          <w:tcPr>
            <w:tcW w:type="dxa" w:w="5112"/>
            <w:vAlign w:val="center"/>
          </w:tcPr>
          <w:p>
            <w:r>
              <w:t>Excluir.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 excepcional comprovada</w:t>
            </w:r>
          </w:p>
        </w:tc>
        <w:tc>
          <w:tcPr>
            <w:tcW w:type="dxa" w:w="5112"/>
            <w:vAlign w:val="center"/>
          </w:tcPr>
          <w:p>
            <w:r>
              <w:t>Pode ser usada como evidência de piso, com cautela.</w:t>
            </w:r>
          </w:p>
        </w:tc>
      </w:tr>
    </w:tbl>
    <w:p/>
    <w:p>
      <w:pPr>
        <w:pStyle w:val="Heading1"/>
      </w:pPr>
      <w:r>
        <w:t>23. Mediana x média</w:t>
      </w:r>
    </w:p>
    <w:p>
      <w:r>
        <w:t>Como princípio de negócio, a mediana é frequentemente mais resistente a outliers do que a média. O Radar deve comparar as duas e</w:t>
        <w:br/>
        <w:t>usar a medida mais robusta para o contexto. A escolha definitiva será calibrada por tipo de mercado.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Preferência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Muitos outliers</w:t>
            </w:r>
          </w:p>
        </w:tc>
        <w:tc>
          <w:tcPr>
            <w:tcW w:type="dxa" w:w="5112"/>
            <w:vAlign w:val="center"/>
          </w:tcPr>
          <w:p>
            <w:r>
              <w:t>Mediana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homogêneo</w:t>
            </w:r>
          </w:p>
        </w:tc>
        <w:tc>
          <w:tcPr>
            <w:tcW w:type="dxa" w:w="5112"/>
            <w:vAlign w:val="center"/>
          </w:tcPr>
          <w:p>
            <w:r>
              <w:t>Média e mediana podem convergir</w:t>
            </w:r>
          </w:p>
        </w:tc>
      </w:tr>
      <w:tr>
        <w:tc>
          <w:tcPr>
            <w:tcW w:type="dxa" w:w="5112"/>
            <w:vAlign w:val="center"/>
          </w:tcPr>
          <w:p>
            <w:r>
              <w:t>Poucos dados</w:t>
            </w:r>
          </w:p>
        </w:tc>
        <w:tc>
          <w:tcPr>
            <w:tcW w:type="dxa" w:w="5112"/>
            <w:vAlign w:val="center"/>
          </w:tcPr>
          <w:p>
            <w:r>
              <w:t>Faixa + análise qualitativa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muito heterogêneo</w:t>
            </w:r>
          </w:p>
        </w:tc>
        <w:tc>
          <w:tcPr>
            <w:tcW w:type="dxa" w:w="5112"/>
            <w:vAlign w:val="center"/>
          </w:tcPr>
          <w:p>
            <w:r>
              <w:t>Segmentar antes de calcular</w:t>
            </w:r>
          </w:p>
        </w:tc>
      </w:tr>
    </w:tbl>
    <w:p/>
    <w:p>
      <w:pPr>
        <w:pStyle w:val="Heading1"/>
      </w:pPr>
      <w:r>
        <w:t>24. Segmentação do mercado</w:t>
      </w:r>
    </w:p>
    <w:p>
      <w:r>
        <w:t>Antes de calcular valor, o Radar deve perguntar se está misturando mercados diferentes.</w:t>
      </w:r>
    </w:p>
    <w:p>
      <w:pPr>
        <w:pStyle w:val="ListBullet"/>
      </w:pPr>
      <w:r>
        <w:t>novo x usado</w:t>
      </w:r>
    </w:p>
    <w:p>
      <w:pPr>
        <w:pStyle w:val="ListBullet"/>
      </w:pPr>
      <w:r>
        <w:t>econômico x alto padrão</w:t>
      </w:r>
    </w:p>
    <w:p>
      <w:pPr>
        <w:pStyle w:val="ListBullet"/>
      </w:pPr>
      <w:r>
        <w:t>1 x 3 quartos</w:t>
      </w:r>
    </w:p>
    <w:p>
      <w:pPr>
        <w:pStyle w:val="ListBullet"/>
      </w:pPr>
      <w:r>
        <w:t>com x sem vaga</w:t>
      </w:r>
    </w:p>
    <w:p>
      <w:pPr>
        <w:pStyle w:val="ListBullet"/>
      </w:pPr>
      <w:r>
        <w:t>mesmo x outro condomínio</w:t>
      </w:r>
    </w:p>
    <w:p>
      <w:pPr>
        <w:pStyle w:val="ListBullet"/>
      </w:pPr>
      <w:r>
        <w:t>reformado x original</w:t>
      </w:r>
    </w:p>
    <w:p>
      <w:pPr>
        <w:pStyle w:val="ListBullet"/>
      </w:pPr>
      <w:r>
        <w:t>residencial x comercial</w:t>
      </w:r>
    </w:p>
    <w:p>
      <w:pPr>
        <w:pStyle w:val="Heading1"/>
      </w:pPr>
      <w:r>
        <w:t>25. Preço/m²</w:t>
      </w:r>
    </w:p>
    <w:p>
      <w:pPr>
        <w:jc w:val="center"/>
      </w:pPr>
      <w:r>
        <w:rPr>
          <w:b/>
        </w:rPr>
        <w:t>Preço/m² = preço ÷ área considerada</w:t>
      </w:r>
    </w:p>
    <w:p>
      <w:r>
        <w:t>A área utilizada deve ser explicitada. Área útil, construída e total não são equivalentes.</w:t>
      </w:r>
    </w:p>
    <w:p>
      <w:pPr>
        <w:pStyle w:val="Heading1"/>
      </w:pPr>
      <w:r>
        <w:t>26. Área correta para comparação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Referência preferencial</w:t>
            </w:r>
          </w:p>
        </w:tc>
      </w:tr>
      <w:tr>
        <w:tc>
          <w:tcPr>
            <w:tcW w:type="dxa" w:w="5112"/>
            <w:vAlign w:val="center"/>
          </w:tcPr>
          <w:p>
            <w:r>
              <w:t>Apartamento</w:t>
            </w:r>
          </w:p>
        </w:tc>
        <w:tc>
          <w:tcPr>
            <w:tcW w:type="dxa" w:w="5112"/>
            <w:vAlign w:val="center"/>
          </w:tcPr>
          <w:p>
            <w:r>
              <w:t>Área útil, quando comparável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Casa</w:t>
            </w:r>
          </w:p>
        </w:tc>
        <w:tc>
          <w:tcPr>
            <w:tcW w:type="dxa" w:w="5112"/>
            <w:vAlign w:val="center"/>
          </w:tcPr>
          <w:p>
            <w:r>
              <w:t>Área construída + terreno separadamente quando necessário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Sobrado</w:t>
            </w:r>
          </w:p>
        </w:tc>
        <w:tc>
          <w:tcPr>
            <w:tcW w:type="dxa" w:w="5112"/>
            <w:vAlign w:val="center"/>
          </w:tcPr>
          <w:p>
            <w:r>
              <w:t>Área construída + terreno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Área do terreno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Comercial</w:t>
            </w:r>
          </w:p>
        </w:tc>
        <w:tc>
          <w:tcPr>
            <w:tcW w:type="dxa" w:w="5112"/>
            <w:vAlign w:val="center"/>
          </w:tcPr>
          <w:p>
            <w:r>
              <w:t>Área privativa/locável conforme mercado</w:t>
            </w:r>
          </w:p>
        </w:tc>
      </w:tr>
    </w:tbl>
    <w:p/>
    <w:p>
      <w:r>
        <w:t>Nunca misturar áreas diferentes sem ajuste.</w:t>
      </w:r>
    </w:p>
    <w:p>
      <w:pPr>
        <w:pStyle w:val="Heading1"/>
      </w:pPr>
      <w:r>
        <w:t>27. Valuation por faixa</w:t>
      </w:r>
    </w:p>
    <w:p>
      <w:r>
        <w:t>O Radar deve evitar falsa precisão.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Faixa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Piso conservador</w:t>
            </w:r>
          </w:p>
        </w:tc>
        <w:tc>
          <w:tcPr>
            <w:tcW w:type="dxa" w:w="5112"/>
            <w:vAlign w:val="center"/>
          </w:tcPr>
          <w:p>
            <w:r>
              <w:t>R$ 295.000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base</w:t>
            </w:r>
          </w:p>
        </w:tc>
        <w:tc>
          <w:tcPr>
            <w:tcW w:type="dxa" w:w="5112"/>
            <w:vAlign w:val="center"/>
          </w:tcPr>
          <w:p>
            <w:r>
              <w:t>R$ 315.000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Teto razoável</w:t>
            </w:r>
          </w:p>
        </w:tc>
        <w:tc>
          <w:tcPr>
            <w:tcW w:type="dxa" w:w="5112"/>
            <w:vAlign w:val="center"/>
          </w:tcPr>
          <w:p>
            <w:r>
              <w:t>R$ 335.000</w:t>
            </w:r>
          </w:p>
        </w:tc>
      </w:tr>
    </w:tbl>
    <w:p/>
    <w:p>
      <w:r>
        <w:t>A faixa deve refletir dispersão dos comparáveis e incerteza do processo.</w:t>
      </w:r>
    </w:p>
    <w:p>
      <w:pPr>
        <w:pStyle w:val="Heading1"/>
      </w:pPr>
      <w:r>
        <w:t>28. Cenário conservador</w:t>
      </w:r>
    </w:p>
    <w:p>
      <w:r>
        <w:t>Deve representar um valor que continue plausível mesmo com condições menos favoráveis. Deve considerar comparáveis mais prudentes, menor poder de negociação e incerteza relevante.</w:t>
      </w:r>
    </w:p>
    <w:p>
      <w:pPr>
        <w:pStyle w:val="Heading1"/>
      </w:pPr>
      <w:r>
        <w:t>29. Cenário base</w:t>
      </w:r>
    </w:p>
    <w:p>
      <w:r>
        <w:t>Representa a melhor estimativa central sustentada pelas evidências disponíveis.</w:t>
      </w:r>
    </w:p>
    <w:p>
      <w:pPr>
        <w:pStyle w:val="Heading1"/>
      </w:pPr>
      <w:r>
        <w:t>30. Cenário otimista</w:t>
      </w:r>
    </w:p>
    <w:p>
      <w:r>
        <w:t>Representa uma condição favorável, mas plausível. Não deve ser usado para justificar sozinho uma compra.</w:t>
      </w:r>
    </w:p>
    <w:p>
      <w:pPr>
        <w:pStyle w:val="Heading1"/>
      </w:pPr>
      <w:r>
        <w:t>31. Confiança da estimativa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alta</w:t>
            </w:r>
          </w:p>
        </w:tc>
        <w:tc>
          <w:tcPr>
            <w:tcW w:type="dxa" w:w="5112"/>
            <w:vAlign w:val="center"/>
          </w:tcPr>
          <w:p>
            <w:r>
              <w:t>Muitos comparáveis fortes, recentes e consistentes.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</w:t>
            </w:r>
          </w:p>
        </w:tc>
        <w:tc>
          <w:tcPr>
            <w:tcW w:type="dxa" w:w="5112"/>
            <w:vAlign w:val="center"/>
          </w:tcPr>
          <w:p>
            <w:r>
              <w:t>Boa base e baixa dispersão.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Média</w:t>
            </w:r>
          </w:p>
        </w:tc>
        <w:tc>
          <w:tcPr>
            <w:tcW w:type="dxa" w:w="5112"/>
            <w:vAlign w:val="center"/>
          </w:tcPr>
          <w:p>
            <w:r>
              <w:t>Dados suficientes, mas com diferenças.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</w:t>
            </w:r>
          </w:p>
        </w:tc>
        <w:tc>
          <w:tcPr>
            <w:tcW w:type="dxa" w:w="5112"/>
            <w:vAlign w:val="center"/>
          </w:tcPr>
          <w:p>
            <w:r>
              <w:t>Poucos comparáveis, dispersão ou dados antigos.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Insuficiente</w:t>
            </w:r>
          </w:p>
        </w:tc>
        <w:tc>
          <w:tcPr>
            <w:tcW w:type="dxa" w:w="5112"/>
            <w:vAlign w:val="center"/>
          </w:tcPr>
          <w:p>
            <w:r>
              <w:t>Não há base confiável.</w:t>
            </w:r>
          </w:p>
        </w:tc>
      </w:tr>
    </w:tbl>
    <w:p/>
    <w:p>
      <w:pPr>
        <w:pStyle w:val="Heading1"/>
      </w:pPr>
      <w:r>
        <w:t>32. Componentes da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Quantidade</w:t>
            </w:r>
          </w:p>
        </w:tc>
        <w:tc>
          <w:tcPr>
            <w:tcW w:type="dxa" w:w="5112"/>
            <w:vAlign w:val="center"/>
          </w:tcPr>
          <w:p>
            <w:r>
              <w:t>Quantos comparáveis úteis existem?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Qualidade</w:t>
            </w:r>
          </w:p>
        </w:tc>
        <w:tc>
          <w:tcPr>
            <w:tcW w:type="dxa" w:w="5112"/>
            <w:vAlign w:val="center"/>
          </w:tcPr>
          <w:p>
            <w:r>
              <w:t>São realmente semelhantes?</w:t>
            </w:r>
          </w:p>
        </w:tc>
      </w:tr>
      <w:tr>
        <w:tc>
          <w:tcPr>
            <w:tcW w:type="dxa" w:w="5112"/>
            <w:vAlign w:val="center"/>
          </w:tcPr>
          <w:p>
            <w:r>
              <w:t>Atualidade</w:t>
            </w:r>
          </w:p>
        </w:tc>
        <w:tc>
          <w:tcPr>
            <w:tcW w:type="dxa" w:w="5112"/>
            <w:vAlign w:val="center"/>
          </w:tcPr>
          <w:p>
            <w:r>
              <w:t>Os preços ainda representam o mercado?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Consistência</w:t>
            </w:r>
          </w:p>
        </w:tc>
        <w:tc>
          <w:tcPr>
            <w:tcW w:type="dxa" w:w="5112"/>
            <w:vAlign w:val="center"/>
          </w:tcPr>
          <w:p>
            <w:r>
              <w:t>Os valores convergem?</w:t>
            </w:r>
          </w:p>
        </w:tc>
      </w:tr>
      <w:tr>
        <w:tc>
          <w:tcPr>
            <w:tcW w:type="dxa" w:w="5112"/>
            <w:vAlign w:val="center"/>
          </w:tcPr>
          <w:p>
            <w:r>
              <w:t>Cobertura</w:t>
            </w:r>
          </w:p>
        </w:tc>
        <w:tc>
          <w:tcPr>
            <w:tcW w:type="dxa" w:w="5112"/>
            <w:vAlign w:val="center"/>
          </w:tcPr>
          <w:p>
            <w:r>
              <w:t>Há mais de uma fonte/referência?</w:t>
            </w:r>
          </w:p>
        </w:tc>
      </w:tr>
      <w:tr>
        <w:tc>
          <w:tcPr>
            <w:tcW w:type="dxa" w:w="5112"/>
            <w:vAlign w:val="center"/>
          </w:tcPr>
          <w:p>
            <w:r>
              <w:t>Dispersão</w:t>
            </w:r>
          </w:p>
        </w:tc>
        <w:tc>
          <w:tcPr>
            <w:tcW w:type="dxa" w:w="5112"/>
            <w:vAlign w:val="center"/>
          </w:tcPr>
          <w:p>
            <w:r>
              <w:t>Os preços são muito diferentes?</w:t>
            </w:r>
          </w:p>
        </w:tc>
      </w:tr>
      <w:tr>
        <w:tc>
          <w:tcPr>
            <w:tcW w:type="dxa" w:w="5112"/>
            <w:vAlign w:val="center"/>
          </w:tcPr>
          <w:p>
            <w:r>
              <w:t>Especialização</w:t>
            </w:r>
          </w:p>
        </w:tc>
        <w:tc>
          <w:tcPr>
            <w:tcW w:type="dxa" w:w="5112"/>
            <w:vAlign w:val="center"/>
          </w:tcPr>
          <w:p>
            <w:r>
              <w:t>É um mercado comum ou muito específico?</w:t>
            </w:r>
          </w:p>
        </w:tc>
      </w:tr>
    </w:tbl>
    <w:p/>
    <w:p>
      <w:pPr>
        <w:pStyle w:val="Heading1"/>
      </w:pPr>
      <w:r>
        <w:t>33. Dispersão</w:t>
      </w:r>
    </w:p>
    <w:p>
      <w:r>
        <w:t>Quanto maior a dispersão entre comparáveis semelhantes, menor a confiança, salvo explicação clara.</w:t>
      </w:r>
    </w:p>
    <w:p>
      <w:pPr>
        <w:jc w:val="center"/>
      </w:pPr>
      <w:r>
        <w:rPr>
          <w:b/>
        </w:rPr>
        <w:t>Alta dispersão → menor confiança → maior margem exigida</w:t>
      </w:r>
    </w:p>
    <w:p>
      <w:pPr>
        <w:pStyle w:val="Heading1"/>
      </w:pPr>
      <w:r>
        <w:t>34. Mercado com poucos comparáveis</w:t>
      </w:r>
    </w:p>
    <w:p>
      <w:r>
        <w:t>Quando o mercado for pequeno, o Radar deve mudar de comportamento.</w:t>
      </w:r>
    </w:p>
    <w:p>
      <w:pPr>
        <w:pStyle w:val="ListBullet"/>
      </w:pPr>
      <w:r>
        <w:t>ampliar gradualmente o raio</w:t>
      </w:r>
    </w:p>
    <w:p>
      <w:pPr>
        <w:pStyle w:val="ListBullet"/>
      </w:pPr>
      <w:r>
        <w:t>relaxar características menos importantes</w:t>
      </w:r>
    </w:p>
    <w:p>
      <w:pPr>
        <w:pStyle w:val="ListBullet"/>
      </w:pPr>
      <w:r>
        <w:t>manter características críticas</w:t>
      </w:r>
    </w:p>
    <w:p>
      <w:pPr>
        <w:pStyle w:val="ListBullet"/>
      </w:pPr>
      <w:r>
        <w:t>aumentar incerteza</w:t>
      </w:r>
    </w:p>
    <w:p>
      <w:pPr>
        <w:pStyle w:val="ListBullet"/>
      </w:pPr>
      <w:r>
        <w:t>reduzir confiança</w:t>
      </w:r>
    </w:p>
    <w:p>
      <w:pPr>
        <w:pStyle w:val="ListBullet"/>
      </w:pPr>
      <w:r>
        <w:t>exigir margem maior</w:t>
      </w:r>
    </w:p>
    <w:p>
      <w:pPr>
        <w:pStyle w:val="ListBullet"/>
      </w:pPr>
      <w:r>
        <w:t>marcar avaliação como condicional</w:t>
      </w:r>
    </w:p>
    <w:p>
      <w:pPr>
        <w:pStyle w:val="Heading1"/>
      </w:pPr>
      <w:r>
        <w:t>35. Mercado sem comparáveis</w:t>
      </w:r>
    </w:p>
    <w:p>
      <w:r>
        <w:t>Sem evidência suficiente, não deve haver valuation artificialmente preciso.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Nenhum comparável confiável</w:t>
            </w:r>
          </w:p>
        </w:tc>
        <w:tc>
          <w:tcPr>
            <w:tcW w:type="dxa" w:w="5112"/>
            <w:vAlign w:val="center"/>
          </w:tcPr>
          <w:p>
            <w:r>
              <w:t>Valuation inconclusivo.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Poucos comparáveis fracos</w:t>
            </w:r>
          </w:p>
        </w:tc>
        <w:tc>
          <w:tcPr>
            <w:tcW w:type="dxa" w:w="5112"/>
            <w:vAlign w:val="center"/>
          </w:tcPr>
          <w:p>
            <w:r>
              <w:t>Faixa ampla + baixa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Modelo externo confiável</w:t>
            </w:r>
          </w:p>
        </w:tc>
        <w:tc>
          <w:tcPr>
            <w:tcW w:type="dxa" w:w="5112"/>
            <w:vAlign w:val="center"/>
          </w:tcPr>
          <w:p>
            <w:r>
              <w:t>Pode fornecer referência, mas manter incerteza.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único</w:t>
            </w:r>
          </w:p>
        </w:tc>
        <w:tc>
          <w:tcPr>
            <w:tcW w:type="dxa" w:w="5112"/>
            <w:vAlign w:val="center"/>
          </w:tcPr>
          <w:p>
            <w:r>
              <w:t>Análise especial e conservadora.</w:t>
            </w:r>
          </w:p>
        </w:tc>
      </w:tr>
    </w:tbl>
    <w:p/>
    <w:p>
      <w:pPr>
        <w:pStyle w:val="Heading1"/>
      </w:pPr>
      <w:r>
        <w:t>36. Imóveis únicos</w:t>
      </w:r>
    </w:p>
    <w:p>
      <w:r>
        <w:t>Exemplos: terrenos excepcionais, casas muito particulares, imóveis comerciais específicos. O Radar deve evitar comparar diretamente com imóveis comuns.</w:t>
      </w:r>
    </w:p>
    <w:p>
      <w:pPr>
        <w:pStyle w:val="ListBullet"/>
      </w:pPr>
      <w:r>
        <w:t>valor do terreno</w:t>
      </w:r>
    </w:p>
    <w:p>
      <w:pPr>
        <w:pStyle w:val="ListBullet"/>
      </w:pPr>
      <w:r>
        <w:t>potencial construtivo</w:t>
      </w:r>
    </w:p>
    <w:p>
      <w:pPr>
        <w:pStyle w:val="ListBullet"/>
      </w:pPr>
      <w:r>
        <w:t>renda potencial</w:t>
      </w:r>
    </w:p>
    <w:p>
      <w:pPr>
        <w:pStyle w:val="ListBullet"/>
      </w:pPr>
      <w:r>
        <w:t>uso permitido</w:t>
      </w:r>
    </w:p>
    <w:p>
      <w:pPr>
        <w:pStyle w:val="ListBullet"/>
      </w:pPr>
      <w:r>
        <w:t>localização</w:t>
      </w:r>
    </w:p>
    <w:p>
      <w:pPr>
        <w:pStyle w:val="ListBullet"/>
      </w:pPr>
      <w:r>
        <w:t>escassez</w:t>
      </w:r>
    </w:p>
    <w:p>
      <w:pPr>
        <w:pStyle w:val="ListBullet"/>
      </w:pPr>
      <w:r>
        <w:t>comparáveis indiretos</w:t>
      </w:r>
    </w:p>
    <w:p>
      <w:pPr>
        <w:pStyle w:val="Heading1"/>
      </w:pPr>
      <w:r>
        <w:t>37. Terrenos — valuation</w:t>
      </w:r>
    </w:p>
    <w:p>
      <w:r>
        <w:t>O valuation de terreno deve privilegiar preço/m², localização, zoneamento e potencial.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Fator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Importância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Frente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Topografia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Zoneamento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Potencial construtivo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Infraestrutura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Preço/m²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</w:tbl>
    <w:p/>
    <w:p>
      <w:pPr>
        <w:pStyle w:val="Heading1"/>
      </w:pPr>
      <w:r>
        <w:t>38. Casas e sobrados — valuation</w:t>
      </w:r>
    </w:p>
    <w:p>
      <w:r>
        <w:t>Deve separar mentalmente o valor do terreno e o valor/estado da construção quando isso melhorar a análise.</w:t>
      </w:r>
    </w:p>
    <w:p>
      <w:pPr>
        <w:pStyle w:val="ListBullet"/>
      </w:pPr>
      <w:r>
        <w:t>terreno</w:t>
      </w:r>
    </w:p>
    <w:p>
      <w:pPr>
        <w:pStyle w:val="ListBullet"/>
      </w:pPr>
      <w:r>
        <w:t>construção</w:t>
      </w:r>
    </w:p>
    <w:p>
      <w:pPr>
        <w:pStyle w:val="ListBullet"/>
      </w:pPr>
      <w:r>
        <w:t>idade</w:t>
      </w:r>
    </w:p>
    <w:p>
      <w:pPr>
        <w:pStyle w:val="ListBullet"/>
      </w:pPr>
      <w:r>
        <w:t>padrão</w:t>
      </w:r>
    </w:p>
    <w:p>
      <w:pPr>
        <w:pStyle w:val="ListBullet"/>
      </w:pPr>
      <w:r>
        <w:t>reforma</w:t>
      </w:r>
    </w:p>
    <w:p>
      <w:pPr>
        <w:pStyle w:val="ListBullet"/>
      </w:pPr>
      <w:r>
        <w:t>vagas</w:t>
      </w:r>
    </w:p>
    <w:p>
      <w:pPr>
        <w:pStyle w:val="ListBullet"/>
      </w:pPr>
      <w:r>
        <w:t>localização</w:t>
      </w:r>
    </w:p>
    <w:p>
      <w:pPr>
        <w:pStyle w:val="ListBullet"/>
      </w:pPr>
      <w:r>
        <w:t>potencial do lote</w:t>
      </w:r>
    </w:p>
    <w:p>
      <w:pPr>
        <w:pStyle w:val="ListBullet"/>
      </w:pPr>
      <w:r>
        <w:t>preço/m²</w:t>
      </w:r>
    </w:p>
    <w:p>
      <w:pPr>
        <w:pStyle w:val="Heading1"/>
      </w:pPr>
      <w:r>
        <w:t>39. Apartamentos — valuation</w:t>
      </w:r>
    </w:p>
    <w:p>
      <w:pPr>
        <w:pStyle w:val="ListBullet"/>
      </w:pPr>
      <w:r>
        <w:t>condomínio</w:t>
      </w:r>
    </w:p>
    <w:p>
      <w:pPr>
        <w:pStyle w:val="ListBullet"/>
      </w:pPr>
      <w:r>
        <w:t>andar</w:t>
      </w:r>
    </w:p>
    <w:p>
      <w:pPr>
        <w:pStyle w:val="ListBullet"/>
      </w:pPr>
      <w:r>
        <w:t>vaga</w:t>
      </w:r>
    </w:p>
    <w:p>
      <w:pPr>
        <w:pStyle w:val="ListBullet"/>
      </w:pPr>
      <w:r>
        <w:t>posição</w:t>
      </w:r>
    </w:p>
    <w:p>
      <w:pPr>
        <w:pStyle w:val="ListBullet"/>
      </w:pPr>
      <w:r>
        <w:t>área</w:t>
      </w:r>
    </w:p>
    <w:p>
      <w:pPr>
        <w:pStyle w:val="ListBullet"/>
      </w:pPr>
      <w:r>
        <w:t>quartos</w:t>
      </w:r>
    </w:p>
    <w:p>
      <w:pPr>
        <w:pStyle w:val="ListBullet"/>
      </w:pPr>
      <w:r>
        <w:t>suítes</w:t>
      </w:r>
    </w:p>
    <w:p>
      <w:pPr>
        <w:pStyle w:val="ListBullet"/>
      </w:pPr>
      <w:r>
        <w:t>idade</w:t>
      </w:r>
    </w:p>
    <w:p>
      <w:pPr>
        <w:pStyle w:val="ListBullet"/>
      </w:pPr>
      <w:r>
        <w:t>padrão</w:t>
      </w:r>
    </w:p>
    <w:p>
      <w:pPr>
        <w:pStyle w:val="ListBullet"/>
      </w:pPr>
      <w:r>
        <w:t>estado</w:t>
      </w:r>
    </w:p>
    <w:p>
      <w:pPr>
        <w:pStyle w:val="ListBullet"/>
      </w:pPr>
      <w:r>
        <w:t>infraestrutura</w:t>
      </w:r>
    </w:p>
    <w:p>
      <w:pPr>
        <w:pStyle w:val="ListBullet"/>
      </w:pPr>
      <w:r>
        <w:t>localização</w:t>
      </w:r>
    </w:p>
    <w:p>
      <w:pPr>
        <w:pStyle w:val="Heading1"/>
      </w:pPr>
      <w:r>
        <w:t>40. MCMV / baixa renda — valuation</w:t>
      </w:r>
    </w:p>
    <w:p>
      <w:r>
        <w:t>O mercado deve ser segmentado por produto e público. Comparar diretamente com imóveis de padrão superior gera distorção.</w:t>
      </w:r>
    </w:p>
    <w:p>
      <w:pPr>
        <w:pStyle w:val="ListBullet"/>
      </w:pPr>
      <w:r>
        <w:t>ticket</w:t>
      </w:r>
    </w:p>
    <w:p>
      <w:pPr>
        <w:pStyle w:val="ListBullet"/>
      </w:pPr>
      <w:r>
        <w:t>demanda</w:t>
      </w:r>
    </w:p>
    <w:p>
      <w:pPr>
        <w:pStyle w:val="ListBullet"/>
      </w:pPr>
      <w:r>
        <w:t>faixa de financiamento</w:t>
      </w:r>
    </w:p>
    <w:p>
      <w:pPr>
        <w:pStyle w:val="ListBullet"/>
      </w:pPr>
      <w:r>
        <w:t>localização</w:t>
      </w:r>
    </w:p>
    <w:p>
      <w:pPr>
        <w:pStyle w:val="ListBullet"/>
      </w:pPr>
      <w:r>
        <w:t>condomínio</w:t>
      </w:r>
    </w:p>
    <w:p>
      <w:pPr>
        <w:pStyle w:val="ListBullet"/>
      </w:pPr>
      <w:r>
        <w:t>aluguel</w:t>
      </w:r>
    </w:p>
    <w:p>
      <w:pPr>
        <w:pStyle w:val="ListBullet"/>
      </w:pPr>
      <w:r>
        <w:t>tipologia</w:t>
      </w:r>
    </w:p>
    <w:p>
      <w:pPr>
        <w:pStyle w:val="ListBullet"/>
      </w:pPr>
      <w:r>
        <w:t>liquidez</w:t>
      </w:r>
    </w:p>
    <w:p>
      <w:pPr>
        <w:pStyle w:val="ListBullet"/>
      </w:pPr>
      <w:r>
        <w:t>preço/m²</w:t>
      </w:r>
    </w:p>
    <w:p>
      <w:pPr>
        <w:pStyle w:val="Heading1"/>
      </w:pPr>
      <w:r>
        <w:t>41. Valor de mercado x valor de venda rápida</w:t>
      </w:r>
    </w:p>
    <w:p>
      <w:r>
        <w:t>São conceitos diferentes. Valor de mercado representa uma negociação normal. Valor de venda rápida representa um cenário de saída</w:t>
        <w:br/>
        <w:t>mais urgente e pode exigir desconto. Para estratégias de revenda, o Radar deve considerar ambos.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mercado</w:t>
            </w:r>
          </w:p>
        </w:tc>
        <w:tc>
          <w:tcPr>
            <w:tcW w:type="dxa" w:w="5112"/>
            <w:vAlign w:val="center"/>
          </w:tcPr>
          <w:p>
            <w:r>
              <w:t>Referência principal.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venda rápida</w:t>
            </w:r>
          </w:p>
        </w:tc>
        <w:tc>
          <w:tcPr>
            <w:tcW w:type="dxa" w:w="5112"/>
            <w:vAlign w:val="center"/>
          </w:tcPr>
          <w:p>
            <w:r>
              <w:t>Teste de estresse da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liquidação</w:t>
            </w:r>
          </w:p>
        </w:tc>
        <w:tc>
          <w:tcPr>
            <w:tcW w:type="dxa" w:w="5112"/>
            <w:vAlign w:val="center"/>
          </w:tcPr>
          <w:p>
            <w:r>
              <w:t>Cenário extremo, não usar como base normal.</w:t>
            </w:r>
          </w:p>
        </w:tc>
      </w:tr>
    </w:tbl>
    <w:p/>
    <w:p>
      <w:pPr>
        <w:pStyle w:val="Heading1"/>
      </w:pPr>
      <w:r>
        <w:t>42. Teste de estresse</w:t>
      </w:r>
    </w:p>
    <w:p>
      <w:r>
        <w:t>Uma oportunidade forte deve continuar razoável quando o preço de saída for inferior ao valor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base</w:t>
            </w:r>
          </w:p>
        </w:tc>
        <w:tc>
          <w:tcPr>
            <w:tcW w:type="dxa" w:w="5112"/>
            <w:vAlign w:val="center"/>
          </w:tcPr>
          <w:p>
            <w:r>
              <w:t>R$ 315k</w:t>
            </w:r>
          </w:p>
        </w:tc>
      </w:tr>
      <w:tr>
        <w:tc>
          <w:tcPr>
            <w:tcW w:type="dxa" w:w="5112"/>
            <w:vAlign w:val="center"/>
          </w:tcPr>
          <w:p>
            <w:r>
              <w:t>Saída -5%</w:t>
            </w:r>
          </w:p>
        </w:tc>
        <w:tc>
          <w:tcPr>
            <w:tcW w:type="dxa" w:w="5112"/>
            <w:vAlign w:val="center"/>
          </w:tcPr>
          <w:p>
            <w:r>
              <w:t>R$ 299,25k</w:t>
            </w:r>
          </w:p>
        </w:tc>
      </w:tr>
      <w:tr>
        <w:tc>
          <w:tcPr>
            <w:tcW w:type="dxa" w:w="5112"/>
            <w:vAlign w:val="center"/>
          </w:tcPr>
          <w:p>
            <w:r>
              <w:t>Saída -10%</w:t>
            </w:r>
          </w:p>
        </w:tc>
        <w:tc>
          <w:tcPr>
            <w:tcW w:type="dxa" w:w="5112"/>
            <w:vAlign w:val="center"/>
          </w:tcPr>
          <w:p>
            <w:r>
              <w:t>R$ 283,50k</w:t>
            </w:r>
          </w:p>
        </w:tc>
      </w:tr>
      <w:tr>
        <w:tc>
          <w:tcPr>
            <w:tcW w:type="dxa" w:w="5112"/>
            <w:vAlign w:val="center"/>
          </w:tcPr>
          <w:p>
            <w:r>
              <w:t>Saída -15%</w:t>
            </w:r>
          </w:p>
        </w:tc>
        <w:tc>
          <w:tcPr>
            <w:tcW w:type="dxa" w:w="5112"/>
            <w:vAlign w:val="center"/>
          </w:tcPr>
          <w:p>
            <w:r>
              <w:t>R$ 267,75k</w:t>
            </w:r>
          </w:p>
        </w:tc>
      </w:tr>
    </w:tbl>
    <w:p/>
    <w:p>
      <w:r>
        <w:t>Se a tese quebra com pequena redução do preço de saída, a margem de segurança é baixa.</w:t>
      </w:r>
    </w:p>
    <w:p>
      <w:pPr>
        <w:pStyle w:val="Heading1"/>
      </w:pPr>
      <w:r>
        <w:t>43. Relação entre valuation e score</w:t>
      </w:r>
    </w:p>
    <w:p>
      <w:r>
        <w:t>O valuation alimenta desconto, margem e confiança. Portanto, um valuation com baixa confiança não pode produzir um score econômico tão alto quanto um valuation equivalente com evidência forte.</w:t>
      </w:r>
    </w:p>
    <w:p>
      <w:pPr>
        <w:pStyle w:val="Heading1"/>
      </w:pPr>
      <w:r>
        <w:t>44. Exemplo completo — apartamento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da oportunidade</w:t>
            </w:r>
          </w:p>
        </w:tc>
        <w:tc>
          <w:tcPr>
            <w:tcW w:type="dxa" w:w="5112"/>
            <w:vAlign w:val="center"/>
          </w:tcPr>
          <w:p>
            <w:r>
              <w:t>R$ 220.000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 fortes</w:t>
            </w:r>
          </w:p>
        </w:tc>
        <w:tc>
          <w:tcPr>
            <w:tcW w:type="dxa" w:w="5112"/>
            <w:vAlign w:val="center"/>
          </w:tcPr>
          <w:p>
            <w:r>
              <w:t>8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conservador</w:t>
            </w:r>
          </w:p>
        </w:tc>
        <w:tc>
          <w:tcPr>
            <w:tcW w:type="dxa" w:w="5112"/>
            <w:vAlign w:val="center"/>
          </w:tcPr>
          <w:p>
            <w:r>
              <w:t>R$ 295.000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base</w:t>
            </w:r>
          </w:p>
        </w:tc>
        <w:tc>
          <w:tcPr>
            <w:tcW w:type="dxa" w:w="5112"/>
            <w:vAlign w:val="center"/>
          </w:tcPr>
          <w:p>
            <w:r>
              <w:t>R$ 315.000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otimista</w:t>
            </w:r>
          </w:p>
        </w:tc>
        <w:tc>
          <w:tcPr>
            <w:tcW w:type="dxa" w:w="5112"/>
            <w:vAlign w:val="center"/>
          </w:tcPr>
          <w:p>
            <w:r>
              <w:t>R$ 335.000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total estimado</w:t>
            </w:r>
          </w:p>
        </w:tc>
        <w:tc>
          <w:tcPr>
            <w:tcW w:type="dxa" w:w="5112"/>
            <w:vAlign w:val="center"/>
          </w:tcPr>
          <w:p>
            <w:r>
              <w:t>R$ 240.000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vs base</w:t>
            </w:r>
          </w:p>
        </w:tc>
        <w:tc>
          <w:tcPr>
            <w:tcW w:type="dxa" w:w="5112"/>
            <w:vAlign w:val="center"/>
          </w:tcPr>
          <w:p>
            <w:r>
              <w:t>R$ 75.000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% vs base</w:t>
            </w:r>
          </w:p>
        </w:tc>
        <w:tc>
          <w:tcPr>
            <w:tcW w:type="dxa" w:w="5112"/>
            <w:vAlign w:val="center"/>
          </w:tcPr>
          <w:p>
            <w:r>
              <w:t>23,81%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Conclusão</w:t>
            </w:r>
          </w:p>
        </w:tc>
        <w:tc>
          <w:tcPr>
            <w:tcW w:type="dxa" w:w="5112"/>
            <w:vAlign w:val="center"/>
          </w:tcPr>
          <w:p>
            <w:r>
              <w:t>Valuation favorável</w:t>
            </w:r>
          </w:p>
        </w:tc>
      </w:tr>
    </w:tbl>
    <w:p/>
    <w:p>
      <w:pPr>
        <w:pStyle w:val="Heading1"/>
      </w:pPr>
      <w:r>
        <w:t>45. Exemplo — falsa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Avaliação Caixa</w:t>
            </w:r>
          </w:p>
        </w:tc>
        <w:tc>
          <w:tcPr>
            <w:tcW w:type="dxa" w:w="5112"/>
            <w:vAlign w:val="center"/>
          </w:tcPr>
          <w:p>
            <w:r>
              <w:t>R$ 350.000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R$ 175.000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Caixa</w:t>
            </w:r>
          </w:p>
        </w:tc>
        <w:tc>
          <w:tcPr>
            <w:tcW w:type="dxa" w:w="5112"/>
            <w:vAlign w:val="center"/>
          </w:tcPr>
          <w:p>
            <w:r>
              <w:t>50%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conservador</w:t>
            </w:r>
          </w:p>
        </w:tc>
        <w:tc>
          <w:tcPr>
            <w:tcW w:type="dxa" w:w="5112"/>
            <w:vAlign w:val="center"/>
          </w:tcPr>
          <w:p>
            <w:r>
              <w:t>R$ 190.000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base</w:t>
            </w:r>
          </w:p>
        </w:tc>
        <w:tc>
          <w:tcPr>
            <w:tcW w:type="dxa" w:w="5112"/>
            <w:vAlign w:val="center"/>
          </w:tcPr>
          <w:p>
            <w:r>
              <w:t>R$ 205.000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</w:t>
            </w:r>
          </w:p>
        </w:tc>
        <w:tc>
          <w:tcPr>
            <w:tcW w:type="dxa" w:w="5112"/>
            <w:vAlign w:val="center"/>
          </w:tcPr>
          <w:p>
            <w:r>
              <w:t>R$ 25.000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total</w:t>
            </w:r>
          </w:p>
        </w:tc>
        <w:tc>
          <w:tcPr>
            <w:tcW w:type="dxa" w:w="5112"/>
            <w:vAlign w:val="center"/>
          </w:tcPr>
          <w:p>
            <w:r>
              <w:t>R$ 200.000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vs base</w:t>
            </w:r>
          </w:p>
        </w:tc>
        <w:tc>
          <w:tcPr>
            <w:tcW w:type="dxa" w:w="5112"/>
            <w:vAlign w:val="center"/>
          </w:tcPr>
          <w:p>
            <w:r>
              <w:t>R$ 5.000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Conclusão</w:t>
            </w:r>
          </w:p>
        </w:tc>
        <w:tc>
          <w:tcPr>
            <w:tcW w:type="dxa" w:w="5112"/>
            <w:vAlign w:val="center"/>
          </w:tcPr>
          <w:p>
            <w:r>
              <w:t>Não é oportunidade econômica</w:t>
            </w:r>
          </w:p>
        </w:tc>
      </w:tr>
    </w:tbl>
    <w:p/>
    <w:p>
      <w:pPr>
        <w:pStyle w:val="Heading1"/>
      </w:pPr>
      <w:r>
        <w:t>46. Exemplo — valuation incerto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R$ 180.000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</w:t>
            </w:r>
          </w:p>
        </w:tc>
        <w:tc>
          <w:tcPr>
            <w:tcW w:type="dxa" w:w="5112"/>
            <w:vAlign w:val="center"/>
          </w:tcPr>
          <w:p>
            <w:r>
              <w:t>2 fracos</w:t>
            </w:r>
          </w:p>
        </w:tc>
      </w:tr>
      <w:tr>
        <w:tc>
          <w:tcPr>
            <w:tcW w:type="dxa" w:w="5112"/>
            <w:vAlign w:val="center"/>
          </w:tcPr>
          <w:p>
            <w:r>
              <w:t>Faixa estimada</w:t>
            </w:r>
          </w:p>
        </w:tc>
        <w:tc>
          <w:tcPr>
            <w:tcW w:type="dxa" w:w="5112"/>
            <w:vAlign w:val="center"/>
          </w:tcPr>
          <w:p>
            <w:r>
              <w:t>R$ 190k–270k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Baixa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</w:t>
            </w:r>
          </w:p>
        </w:tc>
        <w:tc>
          <w:tcPr>
            <w:tcW w:type="dxa" w:w="5112"/>
            <w:vAlign w:val="center"/>
          </w:tcPr>
          <w:p>
            <w:r>
              <w:t>R$ 25.000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Conclusão</w:t>
            </w:r>
          </w:p>
        </w:tc>
        <w:tc>
          <w:tcPr>
            <w:tcW w:type="dxa" w:w="5112"/>
            <w:vAlign w:val="center"/>
          </w:tcPr>
          <w:p>
            <w:r>
              <w:t>Não classificar como excelente; exigir análise adicional</w:t>
            </w:r>
          </w:p>
        </w:tc>
      </w:tr>
    </w:tbl>
    <w:p/>
    <w:p>
      <w:pPr>
        <w:pStyle w:val="Heading1"/>
      </w:pPr>
      <w:r>
        <w:t>47. Regra de decisão com faixa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abaixo do cenário conservador</w:t>
            </w:r>
          </w:p>
        </w:tc>
        <w:tc>
          <w:tcPr>
            <w:tcW w:type="dxa" w:w="5112"/>
            <w:vAlign w:val="center"/>
          </w:tcPr>
          <w:p>
            <w:r>
              <w:t>Muito forte, se risco/liquidez forem bons.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entre conservador e base</w:t>
            </w:r>
          </w:p>
        </w:tc>
        <w:tc>
          <w:tcPr>
            <w:tcW w:type="dxa" w:w="5112"/>
            <w:vAlign w:val="center"/>
          </w:tcPr>
          <w:p>
            <w:r>
              <w:t>Boa oportunidade potencial.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próximo ao base</w:t>
            </w:r>
          </w:p>
        </w:tc>
        <w:tc>
          <w:tcPr>
            <w:tcW w:type="dxa" w:w="5112"/>
            <w:vAlign w:val="center"/>
          </w:tcPr>
          <w:p>
            <w:r>
              <w:t>Margem pequena; depende da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acima do base</w:t>
            </w:r>
          </w:p>
        </w:tc>
        <w:tc>
          <w:tcPr>
            <w:tcW w:type="dxa" w:w="5112"/>
            <w:vAlign w:val="center"/>
          </w:tcPr>
          <w:p>
            <w:r>
              <w:t>Normalmente não é oportunidade de desconto.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só abaixo do otimista</w:t>
            </w:r>
          </w:p>
        </w:tc>
        <w:tc>
          <w:tcPr>
            <w:tcW w:type="dxa" w:w="5112"/>
            <w:vAlign w:val="center"/>
          </w:tcPr>
          <w:p>
            <w:r>
              <w:t>Evitar conclusão forte.</w:t>
            </w:r>
          </w:p>
        </w:tc>
      </w:tr>
    </w:tbl>
    <w:p/>
    <w:p>
      <w:pPr>
        <w:pStyle w:val="Heading1"/>
      </w:pPr>
      <w:r>
        <w:t>48. Regra de margem exigida</w:t>
      </w:r>
    </w:p>
    <w:p>
      <w:r>
        <w:t>A margem mínima deve variar conforme confiança e risco.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Confiança / risco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Margem exigida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 confiança + baixo risco</w:t>
            </w:r>
          </w:p>
        </w:tc>
        <w:tc>
          <w:tcPr>
            <w:tcW w:type="dxa" w:w="5112"/>
            <w:vAlign w:val="center"/>
          </w:tcPr>
          <w:p>
            <w:r>
              <w:t>Normal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Média confiança ou risco médio</w:t>
            </w:r>
          </w:p>
        </w:tc>
        <w:tc>
          <w:tcPr>
            <w:tcW w:type="dxa" w:w="5112"/>
            <w:vAlign w:val="center"/>
          </w:tcPr>
          <w:p>
            <w:r>
              <w:t>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 confiança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 incerteza + risco alto</w:t>
            </w:r>
          </w:p>
        </w:tc>
        <w:tc>
          <w:tcPr>
            <w:tcW w:type="dxa" w:w="5112"/>
            <w:vAlign w:val="center"/>
          </w:tcPr>
          <w:p>
            <w:r>
              <w:t>Muito alta ou rejeitar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</w:t>
            </w:r>
          </w:p>
        </w:tc>
        <w:tc>
          <w:tcPr>
            <w:tcW w:type="dxa" w:w="5112"/>
            <w:vAlign w:val="center"/>
          </w:tcPr>
          <w:p>
            <w:r>
              <w:t>Rejeitar se hard rule</w:t>
            </w:r>
          </w:p>
        </w:tc>
      </w:tr>
    </w:tbl>
    <w:p/>
    <w:p>
      <w:pPr>
        <w:pStyle w:val="Heading1"/>
      </w:pPr>
      <w:r>
        <w:t>49. Atualização do valuation</w:t>
      </w:r>
    </w:p>
    <w:p>
      <w:r>
        <w:t>O valor estimado deve mudar quando houver evidência relevante.</w:t>
      </w:r>
    </w:p>
    <w:p>
      <w:pPr>
        <w:pStyle w:val="ListBullet"/>
      </w:pPr>
      <w:r>
        <w:t>novos comparáveis</w:t>
      </w:r>
    </w:p>
    <w:p>
      <w:pPr>
        <w:pStyle w:val="ListBullet"/>
      </w:pPr>
      <w:r>
        <w:t>mudança significativa de preços</w:t>
      </w:r>
    </w:p>
    <w:p>
      <w:pPr>
        <w:pStyle w:val="ListBullet"/>
      </w:pPr>
      <w:r>
        <w:t>mudança de status</w:t>
      </w:r>
    </w:p>
    <w:p>
      <w:pPr>
        <w:pStyle w:val="ListBullet"/>
      </w:pPr>
      <w:r>
        <w:t>alteração relevante do imóvel</w:t>
      </w:r>
    </w:p>
    <w:p>
      <w:pPr>
        <w:pStyle w:val="ListBullet"/>
      </w:pPr>
      <w:r>
        <w:t>mudança de mercado</w:t>
      </w:r>
    </w:p>
    <w:p>
      <w:pPr>
        <w:pStyle w:val="ListBullet"/>
      </w:pPr>
      <w:r>
        <w:t>nova informação sobre localização</w:t>
      </w:r>
    </w:p>
    <w:p>
      <w:pPr>
        <w:pStyle w:val="ListBullet"/>
      </w:pPr>
      <w:r>
        <w:t>mudança de aluguel para estratégia de renda</w:t>
      </w:r>
    </w:p>
    <w:p>
      <w:pPr>
        <w:pStyle w:val="Heading1"/>
      </w:pPr>
      <w:r>
        <w:t>50. Histórico do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Mercado base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556"/>
            <w:vAlign w:val="center"/>
          </w:tcPr>
          <w:p>
            <w:r>
              <w:t>01/07</w:t>
            </w:r>
          </w:p>
        </w:tc>
        <w:tc>
          <w:tcPr>
            <w:tcW w:type="dxa" w:w="2556"/>
            <w:vAlign w:val="center"/>
          </w:tcPr>
          <w:p>
            <w:r>
              <w:t>R$ 300k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8 comparáveis</w:t>
            </w:r>
          </w:p>
        </w:tc>
      </w:tr>
      <w:tr>
        <w:tc>
          <w:tcPr>
            <w:tcW w:type="dxa" w:w="2556"/>
            <w:vAlign w:val="center"/>
          </w:tcPr>
          <w:p>
            <w:r>
              <w:t>01/08</w:t>
            </w:r>
          </w:p>
        </w:tc>
        <w:tc>
          <w:tcPr>
            <w:tcW w:type="dxa" w:w="2556"/>
            <w:vAlign w:val="center"/>
          </w:tcPr>
          <w:p>
            <w:r>
              <w:t>R$ 307k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novos comparáveis</w:t>
            </w:r>
          </w:p>
        </w:tc>
      </w:tr>
      <w:tr>
        <w:tc>
          <w:tcPr>
            <w:tcW w:type="dxa" w:w="2556"/>
            <w:vAlign w:val="center"/>
          </w:tcPr>
          <w:p>
            <w:r>
              <w:t>01/09</w:t>
            </w:r>
          </w:p>
        </w:tc>
        <w:tc>
          <w:tcPr>
            <w:tcW w:type="dxa" w:w="2556"/>
            <w:vAlign w:val="center"/>
          </w:tcPr>
          <w:p>
            <w:r>
              <w:t>R$ 315k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mercado local atualizado</w:t>
            </w:r>
          </w:p>
        </w:tc>
      </w:tr>
    </w:tbl>
    <w:p/>
    <w:p>
      <w:pPr>
        <w:pStyle w:val="Heading1"/>
      </w:pPr>
      <w:r>
        <w:t>51. Revisão por evento</w:t>
      </w:r>
    </w:p>
    <w:p>
      <w:r>
        <w:t>Toda mudança material deve gerar nova avaliação, preservando a anterior. Nunca sobrescrever a história.</w:t>
      </w:r>
    </w:p>
    <w:p>
      <w:pPr>
        <w:pStyle w:val="Heading1"/>
      </w:pPr>
      <w:r>
        <w:t>52. Detecção de anomalia</w:t>
      </w:r>
    </w:p>
    <w:p>
      <w:r>
        <w:t>Depois do valuation, o Radar deve calcular se o preço do imóvel está fora do comportamento esperado.</w:t>
      </w:r>
    </w:p>
    <w:p>
      <w:pPr>
        <w:jc w:val="center"/>
      </w:pPr>
      <w:r>
        <w:rPr>
          <w:b/>
        </w:rPr>
        <w:t>Preço observado muito abaixo da faixa esperada → possível anomalia → investigar antes de recomendar</w:t>
      </w:r>
    </w:p>
    <w:p>
      <w:pPr>
        <w:pStyle w:val="Heading1"/>
      </w:pPr>
      <w:r>
        <w:t>53. Anomalia não é oportunidade automaticamente</w:t>
      </w:r>
    </w:p>
    <w:p>
      <w:r>
        <w:t>Uma anomalia pode significar oportunidade ou problema oculto.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Anomalia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Possível explicação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muito baixo</w:t>
            </w:r>
          </w:p>
        </w:tc>
        <w:tc>
          <w:tcPr>
            <w:tcW w:type="dxa" w:w="5112"/>
            <w:vAlign w:val="center"/>
          </w:tcPr>
          <w:p>
            <w:r>
              <w:t>Urgência real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muito baixo</w:t>
            </w:r>
          </w:p>
        </w:tc>
        <w:tc>
          <w:tcPr>
            <w:tcW w:type="dxa" w:w="5112"/>
            <w:vAlign w:val="center"/>
          </w:tcPr>
          <w:p>
            <w:r>
              <w:t>Imóvel deteriorado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muito baixo</w:t>
            </w:r>
          </w:p>
        </w:tc>
        <w:tc>
          <w:tcPr>
            <w:tcW w:type="dxa" w:w="5112"/>
            <w:vAlign w:val="center"/>
          </w:tcPr>
          <w:p>
            <w:r>
              <w:t>Problema jurídico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muito baixo</w:t>
            </w:r>
          </w:p>
        </w:tc>
        <w:tc>
          <w:tcPr>
            <w:tcW w:type="dxa" w:w="5112"/>
            <w:vAlign w:val="center"/>
          </w:tcPr>
          <w:p>
            <w:r>
              <w:t>Ocupação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muito baixo</w:t>
            </w:r>
          </w:p>
        </w:tc>
        <w:tc>
          <w:tcPr>
            <w:tcW w:type="dxa" w:w="5112"/>
            <w:vAlign w:val="center"/>
          </w:tcPr>
          <w:p>
            <w:r>
              <w:t>Erro de cadastro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muito baixo</w:t>
            </w:r>
          </w:p>
        </w:tc>
        <w:tc>
          <w:tcPr>
            <w:tcW w:type="dxa" w:w="5112"/>
            <w:vAlign w:val="center"/>
          </w:tcPr>
          <w:p>
            <w:r>
              <w:t>Mercado mal comparado</w:t>
            </w:r>
          </w:p>
        </w:tc>
      </w:tr>
    </w:tbl>
    <w:p/>
    <w:p>
      <w:pPr>
        <w:pStyle w:val="Heading1"/>
      </w:pPr>
      <w:r>
        <w:t>54. Regra de investigação</w:t>
      </w:r>
    </w:p>
    <w:p>
      <w:pPr>
        <w:pStyle w:val="ListNumber"/>
      </w:pPr>
      <w:r>
        <w:t>Detectar preço fora do padrão.</w:t>
      </w:r>
    </w:p>
    <w:p>
      <w:pPr>
        <w:pStyle w:val="ListNumber"/>
      </w:pPr>
      <w:r>
        <w:t>Verificar comparáveis.</w:t>
      </w:r>
    </w:p>
    <w:p>
      <w:pPr>
        <w:pStyle w:val="ListNumber"/>
      </w:pPr>
      <w:r>
        <w:t>Verificar características do imóvel.</w:t>
      </w:r>
    </w:p>
    <w:p>
      <w:pPr>
        <w:pStyle w:val="ListNumber"/>
      </w:pPr>
      <w:r>
        <w:t>Verificar custos.</w:t>
      </w:r>
    </w:p>
    <w:p>
      <w:pPr>
        <w:pStyle w:val="ListNumber"/>
      </w:pPr>
      <w:r>
        <w:t>Verificar riscos conhecidos.</w:t>
      </w:r>
    </w:p>
    <w:p>
      <w:pPr>
        <w:pStyle w:val="ListNumber"/>
      </w:pPr>
      <w:r>
        <w:t>Verificar se a diferença é justificável.</w:t>
      </w:r>
    </w:p>
    <w:p>
      <w:pPr>
        <w:pStyle w:val="ListNumber"/>
      </w:pPr>
      <w:r>
        <w:t>Somente então elevar a prioridade.</w:t>
      </w:r>
    </w:p>
    <w:p>
      <w:pPr>
        <w:pStyle w:val="Heading1"/>
      </w:pPr>
      <w:r>
        <w:t>55. Valuation e aluguel</w:t>
      </w:r>
    </w:p>
    <w:p>
      <w:r>
        <w:t>Aluguel é uma validação adicional, principalmente para estratégia de renda. Um imóvel pode estar barato para compra, mas ter aluguel fraco; também pode ter desconto moderado e excelente renda.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mercado</w:t>
            </w:r>
          </w:p>
        </w:tc>
        <w:tc>
          <w:tcPr>
            <w:tcW w:type="dxa" w:w="5112"/>
            <w:vAlign w:val="center"/>
          </w:tcPr>
          <w:p>
            <w:r>
              <w:t>Principal para desconto.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Principal para renda.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</w:t>
            </w:r>
          </w:p>
        </w:tc>
        <w:tc>
          <w:tcPr>
            <w:tcW w:type="dxa" w:w="5112"/>
            <w:vAlign w:val="center"/>
          </w:tcPr>
          <w:p>
            <w:r>
              <w:t>Principal para retorno.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Principal para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Complementar.</w:t>
            </w:r>
          </w:p>
        </w:tc>
      </w:tr>
    </w:tbl>
    <w:p/>
    <w:p>
      <w:pPr>
        <w:pStyle w:val="Heading1"/>
      </w:pPr>
      <w:r>
        <w:t>56. Valuation e custo de oportunidade</w:t>
      </w:r>
    </w:p>
    <w:p>
      <w:r>
        <w:t>A existência de desconto não basta se houver alternativa claramente superior. O Radar deve permitir comparar oportunidades entre si.</w:t>
      </w:r>
    </w:p>
    <w:p>
      <w:pPr>
        <w:pStyle w:val="Heading1"/>
      </w:pPr>
      <w:r>
        <w:t>57. Erros que o valuation deve evitar</w:t>
      </w:r>
    </w:p>
    <w:p>
      <w:pPr>
        <w:pStyle w:val="ListBullet"/>
      </w:pPr>
      <w:r>
        <w:t>usar avaliação da Caixa como valor de mercado automaticamente</w:t>
      </w:r>
    </w:p>
    <w:p>
      <w:pPr>
        <w:pStyle w:val="ListBullet"/>
      </w:pPr>
      <w:r>
        <w:t>usar somente um comparável</w:t>
      </w:r>
    </w:p>
    <w:p>
      <w:pPr>
        <w:pStyle w:val="ListBullet"/>
      </w:pPr>
      <w:r>
        <w:t>misturar tipologias</w:t>
      </w:r>
    </w:p>
    <w:p>
      <w:pPr>
        <w:pStyle w:val="ListBullet"/>
      </w:pPr>
      <w:r>
        <w:t>misturar padrões</w:t>
      </w:r>
    </w:p>
    <w:p>
      <w:pPr>
        <w:pStyle w:val="ListBullet"/>
      </w:pPr>
      <w:r>
        <w:t>misturar áreas diferentes</w:t>
      </w:r>
    </w:p>
    <w:p>
      <w:pPr>
        <w:pStyle w:val="ListBullet"/>
      </w:pPr>
      <w:r>
        <w:t>ignorar condomínio</w:t>
      </w:r>
    </w:p>
    <w:p>
      <w:pPr>
        <w:pStyle w:val="ListBullet"/>
      </w:pPr>
      <w:r>
        <w:t>ignorar reforma</w:t>
      </w:r>
    </w:p>
    <w:p>
      <w:pPr>
        <w:pStyle w:val="ListBullet"/>
      </w:pPr>
      <w:r>
        <w:t>ignorar temporalidade</w:t>
      </w:r>
    </w:p>
    <w:p>
      <w:pPr>
        <w:pStyle w:val="ListBullet"/>
      </w:pPr>
      <w:r>
        <w:t>manter outliers sem investigação</w:t>
      </w:r>
    </w:p>
    <w:p>
      <w:pPr>
        <w:pStyle w:val="ListBullet"/>
      </w:pPr>
      <w:r>
        <w:t>tratar preço anunciado como transação</w:t>
      </w:r>
    </w:p>
    <w:p>
      <w:pPr>
        <w:pStyle w:val="ListBullet"/>
      </w:pPr>
      <w:r>
        <w:t>dar precisão artificial</w:t>
      </w:r>
    </w:p>
    <w:p>
      <w:pPr>
        <w:pStyle w:val="ListBullet"/>
      </w:pPr>
      <w:r>
        <w:t>ignorar baixa confiança</w:t>
      </w:r>
    </w:p>
    <w:p>
      <w:pPr>
        <w:pStyle w:val="ListBullet"/>
      </w:pPr>
      <w:r>
        <w:t>misturar mercados muito diferentes</w:t>
      </w:r>
    </w:p>
    <w:p>
      <w:pPr>
        <w:pStyle w:val="Heading1"/>
      </w:pPr>
      <w:r>
        <w:t>58. Governança do valuation</w:t>
      </w:r>
    </w:p>
    <w:p>
      <w:r>
        <w:t>Toda metodologia deve ser calibrada com dados históricos.</w:t>
      </w:r>
    </w:p>
    <w:p>
      <w:pPr>
        <w:pStyle w:val="ListNumber"/>
      </w:pPr>
      <w:r>
        <w:t>Selecionar amostra histórica.</w:t>
      </w:r>
    </w:p>
    <w:p>
      <w:pPr>
        <w:pStyle w:val="ListNumber"/>
      </w:pPr>
      <w:r>
        <w:t>Calcular valuation como se fosse na data passada.</w:t>
      </w:r>
    </w:p>
    <w:p>
      <w:pPr>
        <w:pStyle w:val="ListNumber"/>
      </w:pPr>
      <w:r>
        <w:t>Comparar com preços posteriores/transações disponíveis.</w:t>
      </w:r>
    </w:p>
    <w:p>
      <w:pPr>
        <w:pStyle w:val="ListNumber"/>
      </w:pPr>
      <w:r>
        <w:t>Medir erro.</w:t>
      </w:r>
    </w:p>
    <w:p>
      <w:pPr>
        <w:pStyle w:val="ListNumber"/>
      </w:pPr>
      <w:r>
        <w:t>Identificar segmentos onde funciona pior.</w:t>
      </w:r>
    </w:p>
    <w:p>
      <w:pPr>
        <w:pStyle w:val="ListNumber"/>
      </w:pPr>
      <w:r>
        <w:t>Recalibrar ajustes.</w:t>
      </w:r>
    </w:p>
    <w:p>
      <w:pPr>
        <w:pStyle w:val="ListNumber"/>
      </w:pPr>
      <w:r>
        <w:t>Revalidar.</w:t>
      </w:r>
    </w:p>
    <w:p>
      <w:pPr>
        <w:pStyle w:val="Heading1"/>
      </w:pPr>
      <w:r>
        <w:t>59. Métricas de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absoluto médio</w:t>
            </w:r>
          </w:p>
        </w:tc>
        <w:tc>
          <w:tcPr>
            <w:tcW w:type="dxa" w:w="5112"/>
            <w:vAlign w:val="center"/>
          </w:tcPr>
          <w:p>
            <w:r>
              <w:t>Medir erro médio.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percentual</w:t>
            </w:r>
          </w:p>
        </w:tc>
        <w:tc>
          <w:tcPr>
            <w:tcW w:type="dxa" w:w="5112"/>
            <w:vAlign w:val="center"/>
          </w:tcPr>
          <w:p>
            <w:r>
              <w:t>Medir erro relativo.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Cobertura da faixa</w:t>
            </w:r>
          </w:p>
        </w:tc>
        <w:tc>
          <w:tcPr>
            <w:tcW w:type="dxa" w:w="5112"/>
            <w:vAlign w:val="center"/>
          </w:tcPr>
          <w:p>
            <w:r>
              <w:t>Verificar se resultados caem na faixa prevista.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 x erro</w:t>
            </w:r>
          </w:p>
        </w:tc>
        <w:tc>
          <w:tcPr>
            <w:tcW w:type="dxa" w:w="5112"/>
            <w:vAlign w:val="center"/>
          </w:tcPr>
          <w:p>
            <w:r>
              <w:t>Validar se maior confiança realmente significa menor erro.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por tipo</w:t>
            </w:r>
          </w:p>
        </w:tc>
        <w:tc>
          <w:tcPr>
            <w:tcW w:type="dxa" w:w="5112"/>
            <w:vAlign w:val="center"/>
          </w:tcPr>
          <w:p>
            <w:r>
              <w:t>Apartamento/casa/terreno etc.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por região</w:t>
            </w:r>
          </w:p>
        </w:tc>
        <w:tc>
          <w:tcPr>
            <w:tcW w:type="dxa" w:w="5112"/>
            <w:vAlign w:val="center"/>
          </w:tcPr>
          <w:p>
            <w:r>
              <w:t>Identificar regiões difíceis.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por faixa de preço</w:t>
            </w:r>
          </w:p>
        </w:tc>
        <w:tc>
          <w:tcPr>
            <w:tcW w:type="dxa" w:w="5112"/>
            <w:vAlign w:val="center"/>
          </w:tcPr>
          <w:p>
            <w:r>
              <w:t>Identificar segmentos problemáticos.</w:t>
            </w:r>
          </w:p>
        </w:tc>
      </w:tr>
    </w:tbl>
    <w:p/>
    <w:p>
      <w:pPr>
        <w:pStyle w:val="Heading1"/>
      </w:pPr>
      <w:r>
        <w:t>60. Regra de confiança calibrada</w:t>
      </w:r>
    </w:p>
    <w:p>
      <w:r>
        <w:t>No futuro, confiança não deve ser apenas uma nota subjetiva. Deve refletir desempenho histórico do valuation naquele tipo de mercado.</w:t>
      </w:r>
    </w:p>
    <w:p>
      <w:pPr>
        <w:pStyle w:val="Heading1"/>
      </w:pPr>
      <w:r>
        <w:t>61. Resultado obrigatório do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conservador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base</w:t>
            </w:r>
          </w:p>
        </w:tc>
        <w:tc>
          <w:tcPr>
            <w:tcW w:type="dxa" w:w="5112"/>
            <w:vAlign w:val="center"/>
          </w:tcPr>
          <w:p>
            <w:r>
              <w:t>Sim quando possível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otimista</w:t>
            </w:r>
          </w:p>
        </w:tc>
        <w:tc>
          <w:tcPr>
            <w:tcW w:type="dxa" w:w="5112"/>
            <w:vAlign w:val="center"/>
          </w:tcPr>
          <w:p>
            <w:r>
              <w:t>Sim quando possível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Quantidade de comparáveis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Qualidade dos comparáveis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Principais ajustes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Principais limitações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da avaliação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Motivo de atualização</w:t>
            </w:r>
          </w:p>
        </w:tc>
        <w:tc>
          <w:tcPr>
            <w:tcW w:type="dxa" w:w="5112"/>
            <w:vAlign w:val="center"/>
          </w:tcPr>
          <w:p>
            <w:r>
              <w:t>Quando aplicável</w:t>
            </w:r>
          </w:p>
        </w:tc>
      </w:tr>
    </w:tbl>
    <w:p/>
    <w:p>
      <w:pPr>
        <w:pStyle w:val="Heading1"/>
      </w:pPr>
      <w:r>
        <w:t>62. Saída exemplo</w:t>
      </w:r>
    </w:p>
    <w:p>
      <w:r>
        <w:t>VALOR DE MERCADO ESTIMADO</w:t>
        <w:br/>
        <w:t>Conservador: R$ 295.000</w:t>
        <w:br/>
        <w:t>Base: R$ 315.000</w:t>
        <w:br/>
        <w:t>Otimista: R$ 335.000</w:t>
        <w:br/>
        <w:t>Confiança: ALTA</w:t>
        <w:br/>
        <w:br/>
        <w:t>Evidências:</w:t>
        <w:br/>
        <w:t>8 comparáveis fortes</w:t>
        <w:br/>
        <w:t>3 no mesmo condomínio</w:t>
        <w:br/>
        <w:t>5 na microregião</w:t>
        <w:br/>
        <w:br/>
        <w:t>Principais ajustes:</w:t>
        <w:br/>
        <w:t>+ vaga</w:t>
        <w:br/>
        <w:t>− necessidade de reforma</w:t>
        <w:br/>
        <w:t>+ localização</w:t>
        <w:br/>
        <w:br/>
        <w:t>Limitações:</w:t>
        <w:br/>
        <w:t>preços observados são majoritariamente anunciados.</w:t>
      </w:r>
    </w:p>
    <w:p>
      <w:pPr>
        <w:pStyle w:val="Heading1"/>
      </w:pPr>
      <w:r>
        <w:t>63. Regra final de valuation</w:t>
      </w:r>
    </w:p>
    <w:p>
      <w:pPr>
        <w:jc w:val="center"/>
      </w:pPr>
      <w:r>
        <w:rPr>
          <w:b/>
        </w:rPr>
        <w:t>Não precisamos saber exatamente quanto vale. Precisamos saber, com confiança suficiente, se está barato o bastante.</w:t>
      </w:r>
    </w:p>
    <w:p>
      <w:r>
        <w:t>O objetivo do Radar não é substituir uma avaliação formal de engenharia ou uma avaliação bancária. É produzir uma referência</w:t>
        <w:br/>
        <w:t>de mercado suficientemente boa para selecionar oportunidades e decidir quais merecem due diligence aprofundada.</w:t>
      </w:r>
    </w:p>
    <w:p>
      <w:pPr>
        <w:pStyle w:val="Heading1"/>
      </w:pPr>
      <w:r>
        <w:t>64. Integração com o Radar</w:t>
      </w:r>
    </w:p>
    <w:p>
      <w:r>
        <w:t>O fluxo final será:</w:t>
      </w:r>
    </w:p>
    <w:p>
      <w:pPr>
        <w:pStyle w:val="ListNumber"/>
      </w:pPr>
      <w:r>
        <w:t>Capturar preço da oportunidade.</w:t>
      </w:r>
    </w:p>
    <w:p>
      <w:pPr>
        <w:pStyle w:val="ListNumber"/>
      </w:pPr>
      <w:r>
        <w:t>Estimar valor de mercado.</w:t>
      </w:r>
    </w:p>
    <w:p>
      <w:pPr>
        <w:pStyle w:val="ListNumber"/>
      </w:pPr>
      <w:r>
        <w:t>Determinar confiança.</w:t>
      </w:r>
    </w:p>
    <w:p>
      <w:pPr>
        <w:pStyle w:val="ListNumber"/>
      </w:pPr>
      <w:r>
        <w:t>Estimar custo econômico total.</w:t>
      </w:r>
    </w:p>
    <w:p>
      <w:pPr>
        <w:pStyle w:val="ListNumber"/>
      </w:pPr>
      <w:r>
        <w:t>Calcular desconto líquido.</w:t>
      </w:r>
    </w:p>
    <w:p>
      <w:pPr>
        <w:pStyle w:val="ListNumber"/>
      </w:pPr>
      <w:r>
        <w:t>Calcular margem.</w:t>
      </w:r>
    </w:p>
    <w:p>
      <w:pPr>
        <w:pStyle w:val="ListNumber"/>
      </w:pPr>
      <w:r>
        <w:t>Testar cenário conservador.</w:t>
      </w:r>
    </w:p>
    <w:p>
      <w:pPr>
        <w:pStyle w:val="ListNumber"/>
      </w:pPr>
      <w:r>
        <w:t>Avaliar liquidez e risco.</w:t>
      </w:r>
    </w:p>
    <w:p>
      <w:pPr>
        <w:pStyle w:val="ListNumber"/>
      </w:pPr>
      <w:r>
        <w:t>Calcular score da estratégia.</w:t>
      </w:r>
    </w:p>
    <w:p>
      <w:pPr>
        <w:pStyle w:val="ListNumber"/>
      </w:pPr>
      <w:r>
        <w:t>Classificar.</w:t>
      </w:r>
    </w:p>
    <w:p>
      <w:pPr>
        <w:pStyle w:val="ListNumber"/>
      </w:pPr>
      <w:r>
        <w:t>Monitorar mudanças.</w:t>
      </w:r>
    </w:p>
    <w:p>
      <w:pPr>
        <w:pStyle w:val="Heading1"/>
      </w:pPr>
      <w:r>
        <w:t>65. Próximo documento</w:t>
      </w:r>
    </w:p>
    <w:p>
      <w:r>
        <w:t>Documento 3 — Estratégias, Score e Catálogo de Regras Parametrizáveis. Ele deverá consolidar, em nível operacional, todos os</w:t>
        <w:br/>
        <w:t>perfis de investimento, pesos, limites, hard rules, soft rules, exceções, regras de localização, MCMV/baixa renda, renda, revenda,</w:t>
        <w:br/>
        <w:t>valorização, terrenos, apartamentos, casas e sobrados, além do comportamento do Radar diante de conflitos entre regras.</w:t>
      </w:r>
    </w:p>
    <w:p>
      <w:pPr>
        <w:pStyle w:val="Heading1"/>
      </w:pPr>
      <w:r>
        <w:t>66. Conclusão</w:t>
      </w:r>
    </w:p>
    <w:p>
      <w:r>
        <w:t>O valuation é o coração econômico do Radar. A principal função não é produzir um número bonito, mas construir uma estimativa</w:t>
        <w:br/>
        <w:t>defensável, transparente e prudente.</w:t>
        <w:br/>
        <w:br/>
        <w:t>Uma oportunidade só deve ser considerada forte quando o preço e o custo econômico estiverem significativamente abaixo de uma</w:t>
        <w:br/>
        <w:t>referência de mercado suficientemente confiável, levando em conta liquidez, risco e estratégia.</w:t>
        <w:br/>
        <w:br/>
        <w:t>A partir deste modelo, o Radar poderá transformar milhares de ofertas da Caixa em uma lista pequena de oportunidades que realmente</w:t>
        <w:br/>
        <w:t>merecem atenção. Posteriormente, o mesmo processo deverá funcionar para outros bancos e fontes sem alterar o conceito econômico.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Radar Imobiliário — Documento 2 | Modelo de Valuation e Mercado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