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JhengHei"/>
          <w:color w:val="1F4E79"/>
          <w:sz w:val="38"/>
        </w:rPr>
        <w:t>星橋邊緣運算｜初篩備忘 v1</w:t>
      </w:r>
    </w:p>
    <w:p>
      <w:pPr>
        <w:pStyle w:val="Heading1"/>
      </w:pPr>
      <w:r>
        <w:rPr>
          <w:rFonts w:ascii="Arial" w:hAnsi="Arial" w:eastAsia="Microsoft JhengHei"/>
          <w:color w:val="1F4E79"/>
          <w:sz w:val="25"/>
        </w:rPr>
        <w:t>0. 文件盤點</w:t>
      </w:r>
    </w:p>
    <w:tbl>
      <w:tblPr>
        <w:tblStyle w:val="TableGrid"/>
        <w:tblW w:type="dxa" w:w="106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1"/>
        <w:gridCol w:w="2131"/>
        <w:gridCol w:w="2588"/>
        <w:gridCol w:w="2436"/>
      </w:tblGrid>
      <w:tr>
        <w:trPr>
          <w:tblHeader w:val="true"/>
          <w:cantSplit/>
        </w:trPr>
        <w:tc>
          <w:tcPr>
            <w:tcW w:type="dxa" w:w="350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文件</w:t>
            </w:r>
          </w:p>
        </w:tc>
        <w:tc>
          <w:tcPr>
            <w:tcW w:type="dxa" w:w="213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類型／頁數</w:t>
            </w:r>
          </w:p>
        </w:tc>
        <w:tc>
          <w:tcPr>
            <w:tcW w:type="dxa" w:w="25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已揭露</w:t>
            </w:r>
          </w:p>
        </w:tc>
        <w:tc>
          <w:tcPr>
            <w:tcW w:type="dxa" w:w="243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明顯缺口</w:t>
            </w:r>
          </w:p>
        </w:tc>
      </w:tr>
      <w:tr>
        <w:trPr>
          <w:cantSplit/>
        </w:trPr>
        <w:tc>
          <w:tcPr>
            <w:tcW w:type="dxa" w:w="350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fixture_pitch_deck.md</w:t>
            </w:r>
          </w:p>
        </w:tc>
        <w:tc>
          <w:tcPr>
            <w:tcW w:type="dxa" w:w="213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Markdown／無固定頁數</w:t>
            </w:r>
          </w:p>
        </w:tc>
        <w:tc>
          <w:tcPr>
            <w:tcW w:type="dxa" w:w="258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公司、產品、客戶、財務、市場、募資</w:t>
            </w:r>
          </w:p>
        </w:tc>
        <w:tc>
          <w:tcPr>
            <w:tcW w:type="dxa" w:w="243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查核財報、合約、股權、專利、訂單</w:t>
            </w:r>
          </w:p>
        </w:tc>
      </w:tr>
    </w:tbl>
    <w:p>
      <w:pPr>
        <w:spacing w:after="0" w:line="120" w:lineRule="auto"/>
      </w:pP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資料級別：L0 薄資料。</w:t>
      </w:r>
      <w:r>
        <w:rPr>
          <w:rFonts w:ascii="Arial" w:hAnsi="Arial" w:eastAsia="Microsoft JhengHei"/>
          <w:color w:val="000000"/>
          <w:sz w:val="17"/>
        </w:rPr>
        <w:t xml:space="preserve"> 單一自述 Deck，僅適用初篩。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單位：</w:t>
      </w:r>
      <w:r>
        <w:rPr>
          <w:rFonts w:ascii="Arial" w:hAnsi="Arial" w:eastAsia="Microsoft JhengHei"/>
          <w:color w:val="000000"/>
          <w:sz w:val="17"/>
        </w:rPr>
        <w:t>下文統一為 NT$ 百萬元；未見幣別混用。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邊界：</w:t>
      </w:r>
      <w:r>
        <w:rPr>
          <w:rFonts w:ascii="Arial" w:hAnsi="Arial" w:eastAsia="Microsoft JhengHei"/>
          <w:color w:val="000000"/>
          <w:sz w:val="17"/>
        </w:rPr>
        <w:t>除算術外皆未查核；未使用外部來源，外部事實標 UNKNOWN。</w:t>
      </w:r>
    </w:p>
    <w:p>
      <w:pPr>
        <w:pStyle w:val="Heading1"/>
      </w:pPr>
      <w:r>
        <w:rPr>
          <w:rFonts w:ascii="Arial" w:hAnsi="Arial" w:eastAsia="Microsoft JhengHei"/>
          <w:color w:val="1F4E79"/>
          <w:sz w:val="25"/>
        </w:rPr>
        <w:t>1. 公司快照</w:t>
      </w:r>
    </w:p>
    <w:tbl>
      <w:tblPr>
        <w:tblStyle w:val="TableGrid"/>
        <w:tblW w:type="dxa" w:w="106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9"/>
        <w:gridCol w:w="6798"/>
        <w:gridCol w:w="2939"/>
      </w:tblGrid>
      <w:tr>
        <w:trPr>
          <w:tblHeader w:val="true"/>
          <w:cantSplit/>
        </w:trPr>
        <w:tc>
          <w:tcPr>
            <w:tcW w:type="dxa" w:w="91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項目</w:t>
            </w:r>
          </w:p>
        </w:tc>
        <w:tc>
          <w:tcPr>
            <w:tcW w:type="dxa" w:w="679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初篩觀察</w:t>
            </w:r>
          </w:p>
        </w:tc>
        <w:tc>
          <w:tcPr>
            <w:tcW w:type="dxa" w:w="293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出處／可信度</w:t>
            </w:r>
          </w:p>
        </w:tc>
      </w:tr>
      <w:tr>
        <w:trPr>
          <w:cantSplit/>
        </w:trPr>
        <w:tc>
          <w:tcPr>
            <w:tcW w:type="dxa" w:w="91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基本</w:t>
            </w:r>
          </w:p>
        </w:tc>
        <w:tc>
          <w:tcPr>
            <w:tcW w:type="dxa" w:w="679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星橋邊緣運算；2022/6；新竹；負責人林星宇；資本 30；25 人、研發 18</w:t>
            </w:r>
          </w:p>
        </w:tc>
        <w:tc>
          <w:tcPr>
            <w:tcW w:type="dxa" w:w="293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Deck；統編待補</w:t>
            </w:r>
          </w:p>
        </w:tc>
      </w:tr>
      <w:tr>
        <w:trPr>
          <w:cantSplit/>
        </w:trPr>
        <w:tc>
          <w:tcPr>
            <w:tcW w:type="dxa" w:w="91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產品／IP</w:t>
            </w:r>
          </w:p>
        </w:tc>
        <w:tc>
          <w:tcPr>
            <w:tcW w:type="dxa" w:w="679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視覺檢測盒 0.6／台；宣稱 8 件發明專利</w:t>
            </w:r>
          </w:p>
        </w:tc>
        <w:tc>
          <w:tcPr>
            <w:tcW w:type="dxa" w:w="293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Deck；規格、專利號待補</w:t>
            </w:r>
          </w:p>
        </w:tc>
      </w:tr>
      <w:tr>
        <w:trPr>
          <w:cantSplit/>
        </w:trPr>
        <w:tc>
          <w:tcPr>
            <w:tcW w:type="dxa" w:w="91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收益／部署</w:t>
            </w:r>
          </w:p>
        </w:tc>
        <w:tc>
          <w:tcPr>
            <w:tcW w:type="dxa" w:w="679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年費 0.12／台；累計 100 台、授權 40 台、續約 95%</w:t>
            </w:r>
          </w:p>
        </w:tc>
        <w:tc>
          <w:tcPr>
            <w:tcW w:type="dxa" w:w="293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Deck；合約、cohort 待補</w:t>
            </w:r>
          </w:p>
        </w:tc>
      </w:tr>
      <w:tr>
        <w:trPr>
          <w:cantSplit/>
        </w:trPr>
        <w:tc>
          <w:tcPr>
            <w:tcW w:type="dxa" w:w="91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客戶</w:t>
            </w:r>
          </w:p>
        </w:tc>
        <w:tc>
          <w:tcPr>
            <w:tcW w:type="dxa" w:w="679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3 家；A／B／C 占 70%／20%／10%</w:t>
            </w:r>
          </w:p>
        </w:tc>
        <w:tc>
          <w:tcPr>
            <w:tcW w:type="dxa" w:w="293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Deck；名稱、期限待補</w:t>
            </w:r>
          </w:p>
        </w:tc>
      </w:tr>
      <w:tr>
        <w:trPr>
          <w:cantSplit/>
        </w:trPr>
        <w:tc>
          <w:tcPr>
            <w:tcW w:type="dxa" w:w="91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歷史財務</w:t>
            </w:r>
          </w:p>
        </w:tc>
        <w:tc>
          <w:tcPr>
            <w:tcW w:type="dxa" w:w="679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2024 營收／毛利／淨損 30／12／18；2025 為 90／45／8</w:t>
            </w:r>
          </w:p>
        </w:tc>
        <w:tc>
          <w:tcPr>
            <w:tcW w:type="dxa" w:w="293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自結、未查核</w:t>
            </w:r>
          </w:p>
        </w:tc>
      </w:tr>
      <w:tr>
        <w:trPr>
          <w:cantSplit/>
        </w:trPr>
        <w:tc>
          <w:tcPr>
            <w:tcW w:type="dxa" w:w="91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財測</w:t>
            </w:r>
          </w:p>
        </w:tc>
        <w:tc>
          <w:tcPr>
            <w:tcW w:type="dxa" w:w="679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2026E／2027E 營收 240／500、淨利 30／90</w:t>
            </w:r>
          </w:p>
        </w:tc>
        <w:tc>
          <w:tcPr>
            <w:tcW w:type="dxa" w:w="293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僅假設新增兩家客戶</w:t>
            </w:r>
          </w:p>
        </w:tc>
      </w:tr>
      <w:tr>
        <w:trPr>
          <w:cantSplit/>
        </w:trPr>
        <w:tc>
          <w:tcPr>
            <w:tcW w:type="dxa" w:w="91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本輪／治理</w:t>
            </w:r>
          </w:p>
        </w:tc>
        <w:tc>
          <w:tcPr>
            <w:tcW w:type="dxa" w:w="679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募 120、出讓 15%；股東、ESOP、上市規劃 UNKNOWN</w:t>
            </w:r>
          </w:p>
        </w:tc>
        <w:tc>
          <w:tcPr>
            <w:tcW w:type="dxa" w:w="293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Deck；Term Sheet 待補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rPr>
          <w:rFonts w:ascii="Arial" w:hAnsi="Arial" w:eastAsia="Microsoft JhengHei"/>
          <w:color w:val="1F4E79"/>
          <w:sz w:val="21"/>
        </w:rPr>
        <w:t>1.5 內部一致性驗算</w:t>
      </w:r>
    </w:p>
    <w:tbl>
      <w:tblPr>
        <w:tblStyle w:val="TableGrid"/>
        <w:tblW w:type="dxa" w:w="106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9"/>
        <w:gridCol w:w="3076"/>
        <w:gridCol w:w="4614"/>
        <w:gridCol w:w="2197"/>
      </w:tblGrid>
      <w:tr>
        <w:trPr>
          <w:tblHeader w:val="true"/>
          <w:cantSplit/>
        </w:trPr>
        <w:tc>
          <w:tcPr>
            <w:tcW w:type="dxa" w:w="7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檢查項</w:t>
            </w:r>
          </w:p>
        </w:tc>
        <w:tc>
          <w:tcPr>
            <w:tcW w:type="dxa" w:w="30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Deck 數字</w:t>
            </w:r>
          </w:p>
        </w:tc>
        <w:tc>
          <w:tcPr>
            <w:tcW w:type="dxa" w:w="461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驗算結果</w:t>
            </w:r>
          </w:p>
        </w:tc>
        <w:tc>
          <w:tcPr>
            <w:tcW w:type="dxa" w:w="219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判定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2025 YoY</w:t>
            </w:r>
          </w:p>
        </w:tc>
        <w:tc>
          <w:tcPr>
            <w:tcW w:type="dxa" w:w="30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營收 30 → 90、標示 150%</w:t>
            </w:r>
          </w:p>
        </w:tc>
        <w:tc>
          <w:tcPr>
            <w:tcW w:type="dxa" w:w="461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 xml:space="preserve">90 ÷ 30 − 1 = </w:t>
            </w:r>
            <w:r>
              <w:rPr>
                <w:rFonts w:ascii="Arial" w:hAnsi="Arial" w:eastAsia="Microsoft JhengHei"/>
                <w:b/>
                <w:color w:val="000000"/>
                <w:sz w:val="16"/>
              </w:rPr>
              <w:t>200%</w:t>
            </w:r>
          </w:p>
        </w:tc>
        <w:tc>
          <w:tcPr>
            <w:tcW w:type="dxa" w:w="219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[紅旗] 不一致，差 50 個百分點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2025 毛利率</w:t>
            </w:r>
          </w:p>
        </w:tc>
        <w:tc>
          <w:tcPr>
            <w:tcW w:type="dxa" w:w="30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營收 90、毛利 45、標示 60%</w:t>
            </w:r>
          </w:p>
        </w:tc>
        <w:tc>
          <w:tcPr>
            <w:tcW w:type="dxa" w:w="461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 xml:space="preserve">45 ÷ 90 = </w:t>
            </w:r>
            <w:r>
              <w:rPr>
                <w:rFonts w:ascii="Arial" w:hAnsi="Arial" w:eastAsia="Microsoft JhengHei"/>
                <w:b/>
                <w:color w:val="000000"/>
                <w:sz w:val="16"/>
              </w:rPr>
              <w:t>50%</w:t>
            </w:r>
            <w:r>
              <w:rPr>
                <w:rFonts w:ascii="Arial" w:hAnsi="Arial" w:eastAsia="Microsoft JhengHei"/>
                <w:color w:val="000000"/>
                <w:sz w:val="16"/>
              </w:rPr>
              <w:t>；若 60%，毛利應為 54</w:t>
            </w:r>
          </w:p>
        </w:tc>
        <w:tc>
          <w:tcPr>
            <w:tcW w:type="dxa" w:w="219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[紅旗] 不一致，差 10 個百分點或 NT$9 百萬元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軟體收入</w:t>
            </w:r>
          </w:p>
        </w:tc>
        <w:tc>
          <w:tcPr>
            <w:tcW w:type="dxa" w:w="30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占營收 30%；40 台 × 年費 0.12</w:t>
            </w:r>
          </w:p>
        </w:tc>
        <w:tc>
          <w:tcPr>
            <w:tcW w:type="dxa" w:w="461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 xml:space="preserve">30% × 90 = 27；授權計算僅 4.8，差 </w:t>
            </w:r>
            <w:r>
              <w:rPr>
                <w:rFonts w:ascii="Arial" w:hAnsi="Arial" w:eastAsia="Microsoft JhengHei"/>
                <w:b/>
                <w:color w:val="000000"/>
                <w:sz w:val="16"/>
              </w:rPr>
              <w:t>NT$22.2 百萬元</w:t>
            </w:r>
          </w:p>
        </w:tc>
        <w:tc>
          <w:tcPr>
            <w:tcW w:type="dxa" w:w="219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[紅旗] 收入定義或台數無法勾稽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部署收入勾稽</w:t>
            </w:r>
          </w:p>
        </w:tc>
        <w:tc>
          <w:tcPr>
            <w:tcW w:type="dxa" w:w="30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累計 100 台 × 0.6；40 台 × 0.12；營收 90</w:t>
            </w:r>
          </w:p>
        </w:tc>
        <w:tc>
          <w:tcPr>
            <w:tcW w:type="dxa" w:w="461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 xml:space="preserve">即使硬體全算 2025：60 + 4.8 = 64.8，仍差 </w:t>
            </w:r>
            <w:r>
              <w:rPr>
                <w:rFonts w:ascii="Arial" w:hAnsi="Arial" w:eastAsia="Microsoft JhengHei"/>
                <w:b/>
                <w:color w:val="000000"/>
                <w:sz w:val="16"/>
              </w:rPr>
              <w:t>NT$25.2 百萬元</w:t>
            </w:r>
            <w:r>
              <w:rPr>
                <w:rFonts w:ascii="Arial" w:hAnsi="Arial" w:eastAsia="Microsoft JhengHei"/>
                <w:color w:val="000000"/>
                <w:sz w:val="16"/>
              </w:rPr>
              <w:t>；且累計部署不等於當年銷量</w:t>
            </w:r>
          </w:p>
        </w:tc>
        <w:tc>
          <w:tcPr>
            <w:tcW w:type="dxa" w:w="219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[紅旗] 需逐年出貨與其他收入明細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市占</w:t>
            </w:r>
          </w:p>
        </w:tc>
        <w:tc>
          <w:tcPr>
            <w:tcW w:type="dxa" w:w="30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TAM 20,000、目前市占 1%、營收 90</w:t>
            </w:r>
          </w:p>
        </w:tc>
        <w:tc>
          <w:tcPr>
            <w:tcW w:type="dxa" w:w="461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1% × 20,000 = 200；90 僅相當於 0.45%</w:t>
            </w:r>
          </w:p>
        </w:tc>
        <w:tc>
          <w:tcPr>
            <w:tcW w:type="dxa" w:w="219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[紅旗] 若口徑相同，差 NT$110 百萬元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2027 市占</w:t>
            </w:r>
          </w:p>
        </w:tc>
        <w:tc>
          <w:tcPr>
            <w:tcW w:type="dxa" w:w="30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TAM 20,000、市占 5%、營收 500</w:t>
            </w:r>
          </w:p>
        </w:tc>
        <w:tc>
          <w:tcPr>
            <w:tcW w:type="dxa" w:w="461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5% × 20,000 = 1,000；500 僅相當於 2.5%</w:t>
            </w:r>
          </w:p>
        </w:tc>
        <w:tc>
          <w:tcPr>
            <w:tcW w:type="dxa" w:w="219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[紅旗] 若口徑相同，差 NT$500 百萬元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本輪估值</w:t>
            </w:r>
          </w:p>
        </w:tc>
        <w:tc>
          <w:tcPr>
            <w:tcW w:type="dxa" w:w="30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募資 120、出讓 15%、另稱投前 900</w:t>
            </w:r>
          </w:p>
        </w:tc>
        <w:tc>
          <w:tcPr>
            <w:tcW w:type="dxa" w:w="461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 xml:space="preserve">15% 反推投後 800、投前 </w:t>
            </w:r>
            <w:r>
              <w:rPr>
                <w:rFonts w:ascii="Arial" w:hAnsi="Arial" w:eastAsia="Microsoft JhengHei"/>
                <w:b/>
                <w:color w:val="000000"/>
                <w:sz w:val="16"/>
              </w:rPr>
              <w:t>680</w:t>
            </w:r>
            <w:r>
              <w:rPr>
                <w:rFonts w:ascii="Arial" w:hAnsi="Arial" w:eastAsia="Microsoft JhengHei"/>
                <w:color w:val="000000"/>
                <w:sz w:val="16"/>
              </w:rPr>
              <w:t>；投前 900 時持股應為 11.76%</w:t>
            </w:r>
          </w:p>
        </w:tc>
        <w:tc>
          <w:tcPr>
            <w:tcW w:type="dxa" w:w="219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[紅旗] 兩種投前估值差 NT$220 百萬元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成長／轉盈</w:t>
            </w:r>
          </w:p>
        </w:tc>
        <w:tc>
          <w:tcPr>
            <w:tcW w:type="dxa" w:w="30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2025 營收 90、淨損 8；2026E 營收 240、淨利 30</w:t>
            </w:r>
          </w:p>
        </w:tc>
        <w:tc>
          <w:tcPr>
            <w:tcW w:type="dxa" w:w="4614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營收 YoY 166.7%，淨利率由 −8.9% 升至 12.5%</w:t>
            </w:r>
          </w:p>
        </w:tc>
        <w:tc>
          <w:tcPr>
            <w:tcW w:type="dxa" w:w="2197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[注意] 無訂單、費用與產能橋接</w:t>
            </w:r>
          </w:p>
        </w:tc>
      </w:tr>
    </w:tbl>
    <w:p>
      <w:pPr>
        <w:spacing w:after="0" w:line="120" w:lineRule="auto"/>
      </w:pPr>
    </w:p>
    <w:p>
      <w:pPr>
        <w:pStyle w:val="Heading1"/>
      </w:pPr>
      <w:r>
        <w:rPr>
          <w:rFonts w:ascii="Arial" w:hAnsi="Arial" w:eastAsia="Microsoft JhengHei"/>
          <w:color w:val="1F4E79"/>
          <w:sz w:val="25"/>
        </w:rPr>
        <w:t>2. 賽道與同業速覽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定位：</w:t>
      </w:r>
      <w:r>
        <w:rPr>
          <w:rFonts w:ascii="Arial" w:hAnsi="Arial" w:eastAsia="Microsoft JhengHei"/>
          <w:color w:val="000000"/>
          <w:sz w:val="17"/>
        </w:rPr>
        <w:t>邊緣 AI 視覺檢測硬體＋年度授權；規模取決於可複製裝機及續約。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市場：</w:t>
      </w:r>
      <w:r>
        <w:rPr>
          <w:rFonts w:ascii="Arial" w:hAnsi="Arial" w:eastAsia="Microsoft JhengHei"/>
          <w:color w:val="000000"/>
          <w:sz w:val="17"/>
        </w:rPr>
        <w:t>Deck 稱 TAM 20,000，但來源無名址，屬</w:t>
      </w:r>
      <w:r>
        <w:rPr>
          <w:rFonts w:ascii="Arial" w:hAnsi="Arial" w:eastAsia="Microsoft JhengHei"/>
          <w:b/>
          <w:color w:val="000000"/>
          <w:sz w:val="17"/>
        </w:rPr>
        <w:t>循環引用</w:t>
      </w:r>
      <w:r>
        <w:rPr>
          <w:rFonts w:ascii="Arial" w:hAnsi="Arial" w:eastAsia="Microsoft JhengHei"/>
          <w:color w:val="000000"/>
          <w:sz w:val="17"/>
        </w:rPr>
        <w:t>；獨立規模、成長率 UNKNOWN。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查驗：</w:t>
      </w:r>
      <w:r>
        <w:rPr>
          <w:rFonts w:ascii="Arial" w:hAnsi="Arial" w:eastAsia="Microsoft JhengHei"/>
          <w:color w:val="000000"/>
          <w:sz w:val="17"/>
        </w:rPr>
        <w:t>依指示未搜尋；查詢日期不適用。</w:t>
      </w:r>
    </w:p>
    <w:tbl>
      <w:tblPr>
        <w:tblStyle w:val="TableGrid"/>
        <w:tblW w:type="dxa" w:w="106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91"/>
        <w:gridCol w:w="1246"/>
        <w:gridCol w:w="1246"/>
        <w:gridCol w:w="1246"/>
        <w:gridCol w:w="1246"/>
        <w:gridCol w:w="1246"/>
        <w:gridCol w:w="1246"/>
        <w:gridCol w:w="689"/>
      </w:tblGrid>
      <w:tr>
        <w:trPr>
          <w:tblHeader w:val="true"/>
          <w:cantSplit/>
        </w:trPr>
        <w:tc>
          <w:tcPr>
            <w:tcW w:type="dxa" w:w="249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5"/>
              </w:rPr>
              <w:t>公司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5"/>
              </w:rPr>
              <w:t>代號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5"/>
              </w:rPr>
              <w:t>市值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5"/>
              </w:rPr>
              <w:t>毛利率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5"/>
              </w:rPr>
              <w:t>淨利率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5"/>
              </w:rPr>
              <w:t>P/E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5"/>
              </w:rPr>
              <w:t>數據日期</w:t>
            </w:r>
          </w:p>
        </w:tc>
        <w:tc>
          <w:tcPr>
            <w:tcW w:type="dxa" w:w="68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5"/>
              </w:rPr>
              <w:t>來源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工業視覺設備可比：UNKNOWN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68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未查驗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邊緣 AI 軟體可比：UNKNOWN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68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未查驗</w:t>
            </w:r>
          </w:p>
        </w:tc>
      </w:tr>
      <w:tr>
        <w:trPr>
          <w:cantSplit/>
        </w:trPr>
        <w:tc>
          <w:tcPr>
            <w:tcW w:type="dxa" w:w="249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000000"/>
                <w:sz w:val="15"/>
              </w:rPr>
              <w:t>同業區間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—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12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UNKNOWN</w:t>
            </w:r>
          </w:p>
        </w:tc>
        <w:tc>
          <w:tcPr>
            <w:tcW w:type="dxa" w:w="68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5"/>
              </w:rPr>
              <w:t>不可建立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rPr>
          <w:rFonts w:ascii="Arial" w:hAnsi="Arial" w:eastAsia="Microsoft JhengHei"/>
          <w:color w:val="1F4E79"/>
          <w:sz w:val="21"/>
        </w:rPr>
        <w:t>2.2 外部足跡速查</w:t>
      </w:r>
    </w:p>
    <w:tbl>
      <w:tblPr>
        <w:tblStyle w:val="TableGrid"/>
        <w:tblW w:type="dxa" w:w="106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8"/>
        <w:gridCol w:w="3475"/>
        <w:gridCol w:w="3243"/>
        <w:gridCol w:w="2780"/>
      </w:tblGrid>
      <w:tr>
        <w:trPr>
          <w:tblHeader w:val="true"/>
          <w:cantSplit/>
        </w:trPr>
        <w:tc>
          <w:tcPr>
            <w:tcW w:type="dxa" w:w="115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驗證點</w:t>
            </w:r>
          </w:p>
        </w:tc>
        <w:tc>
          <w:tcPr>
            <w:tcW w:type="dxa" w:w="3475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Deck 主張</w:t>
            </w:r>
          </w:p>
        </w:tc>
        <w:tc>
          <w:tcPr>
            <w:tcW w:type="dxa" w:w="324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外部結果</w:t>
            </w:r>
          </w:p>
        </w:tc>
        <w:tc>
          <w:tcPr>
            <w:tcW w:type="dxa" w:w="27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初篩判定</w:t>
            </w:r>
          </w:p>
        </w:tc>
      </w:tr>
      <w:tr>
        <w:trPr>
          <w:cantSplit/>
        </w:trPr>
        <w:tc>
          <w:tcPr>
            <w:tcW w:type="dxa" w:w="115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商工登記</w:t>
            </w:r>
          </w:p>
        </w:tc>
        <w:tc>
          <w:tcPr>
            <w:tcW w:type="dxa" w:w="3475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2022/6、林星宇、資本 30</w:t>
            </w:r>
          </w:p>
        </w:tc>
        <w:tc>
          <w:tcPr>
            <w:tcW w:type="dxa" w:w="324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UNKNOWN（未查詢）</w:t>
            </w:r>
          </w:p>
        </w:tc>
        <w:tc>
          <w:tcPr>
            <w:tcW w:type="dxa" w:w="27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[待補]待官方核對</w:t>
            </w:r>
          </w:p>
        </w:tc>
      </w:tr>
      <w:tr>
        <w:trPr>
          <w:cantSplit/>
        </w:trPr>
        <w:tc>
          <w:tcPr>
            <w:tcW w:type="dxa" w:w="115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負面訊息</w:t>
            </w:r>
          </w:p>
        </w:tc>
        <w:tc>
          <w:tcPr>
            <w:tcW w:type="dxa" w:w="3475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未揭露</w:t>
            </w:r>
          </w:p>
        </w:tc>
        <w:tc>
          <w:tcPr>
            <w:tcW w:type="dxa" w:w="324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UNKNOWN（未查詢）</w:t>
            </w:r>
          </w:p>
        </w:tc>
        <w:tc>
          <w:tcPr>
            <w:tcW w:type="dxa" w:w="27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不得解讀為「無負面紀錄」</w:t>
            </w:r>
          </w:p>
        </w:tc>
      </w:tr>
      <w:tr>
        <w:trPr>
          <w:cantSplit/>
        </w:trPr>
        <w:tc>
          <w:tcPr>
            <w:tcW w:type="dxa" w:w="115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專利</w:t>
            </w:r>
          </w:p>
        </w:tc>
        <w:tc>
          <w:tcPr>
            <w:tcW w:type="dxa" w:w="3475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8 件發明專利</w:t>
            </w:r>
          </w:p>
        </w:tc>
        <w:tc>
          <w:tcPr>
            <w:tcW w:type="dxa" w:w="324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UNKNOWN（未查詢）</w:t>
            </w:r>
          </w:p>
        </w:tc>
        <w:tc>
          <w:tcPr>
            <w:tcW w:type="dxa" w:w="278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[待補]號碼、權利人待補</w:t>
            </w:r>
          </w:p>
        </w:tc>
      </w:tr>
    </w:tbl>
    <w:p>
      <w:pPr>
        <w:spacing w:after="0" w:line="120" w:lineRule="auto"/>
      </w:pPr>
    </w:p>
    <w:p>
      <w:pPr>
        <w:pStyle w:val="Heading1"/>
      </w:pPr>
      <w:r>
        <w:rPr>
          <w:rFonts w:ascii="Arial" w:hAnsi="Arial" w:eastAsia="Microsoft JhengHei"/>
          <w:color w:val="1F4E79"/>
          <w:sz w:val="25"/>
        </w:rPr>
        <w:t>2.5 六專家速評</w:t>
      </w:r>
    </w:p>
    <w:tbl>
      <w:tblPr>
        <w:tblStyle w:val="TableGrid"/>
        <w:tblW w:type="dxa" w:w="106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00"/>
        <w:gridCol w:w="4556"/>
        <w:gridCol w:w="9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專家</w:t>
            </w:r>
          </w:p>
        </w:tc>
        <w:tc>
          <w:tcPr>
            <w:tcW w:type="dxa" w:w="3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核心觀察</w:t>
            </w:r>
          </w:p>
        </w:tc>
        <w:tc>
          <w:tcPr>
            <w:tcW w:type="dxa" w:w="455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最該追問</w:t>
            </w:r>
          </w:p>
        </w:tc>
        <w:tc>
          <w:tcPr>
            <w:tcW w:type="dxa" w:w="9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技術顧問</w:t>
            </w:r>
          </w:p>
        </w:tc>
        <w:tc>
          <w:tcPr>
            <w:tcW w:type="dxa" w:w="3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100 台、8 專利無規格或驗收，TRL UNKNOWN。</w:t>
            </w:r>
          </w:p>
        </w:tc>
        <w:tc>
          <w:tcPr>
            <w:tcW w:type="dxa" w:w="455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多少台有 KPI 與量產驗收紀錄？</w:t>
            </w:r>
          </w:p>
        </w:tc>
        <w:tc>
          <w:tcPr>
            <w:tcW w:type="dxa" w:w="9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★★☆☆☆ 2.0/5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產業分析師</w:t>
            </w:r>
          </w:p>
        </w:tc>
        <w:tc>
          <w:tcPr>
            <w:tcW w:type="dxa" w:w="3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TAM × 1% 應為 200，與營收 90 不符。</w:t>
            </w:r>
          </w:p>
        </w:tc>
        <w:tc>
          <w:tcPr>
            <w:tcW w:type="dxa" w:w="455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TAM／市占分母及原始報告為何？</w:t>
            </w:r>
          </w:p>
        </w:tc>
        <w:tc>
          <w:tcPr>
            <w:tcW w:type="dxa" w:w="9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★★☆☆☆ 1.5/5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商業模式顧問</w:t>
            </w:r>
          </w:p>
        </w:tc>
        <w:tc>
          <w:tcPr>
            <w:tcW w:type="dxa" w:w="3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A 占 70%；授權僅算出 4.8、非 27。</w:t>
            </w:r>
          </w:p>
        </w:tc>
        <w:tc>
          <w:tcPr>
            <w:tcW w:type="dxa" w:w="455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A 不續約時營收與跑道各多少？</w:t>
            </w:r>
          </w:p>
        </w:tc>
        <w:tc>
          <w:tcPr>
            <w:tcW w:type="dxa" w:w="9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★★☆☆☆ 1.5/5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財務分析師</w:t>
            </w:r>
          </w:p>
        </w:tc>
        <w:tc>
          <w:tcPr>
            <w:tcW w:type="dxa" w:w="3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YoY 應為 200%、毛利率 50%，財測基礎弱。</w:t>
            </w:r>
          </w:p>
        </w:tc>
        <w:tc>
          <w:tcPr>
            <w:tcW w:type="dxa" w:w="455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能否以帳票重編損益及認列？</w:t>
            </w:r>
          </w:p>
        </w:tc>
        <w:tc>
          <w:tcPr>
            <w:tcW w:type="dxa" w:w="9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★☆☆☆☆ 1.0/5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估值師</w:t>
            </w:r>
          </w:p>
        </w:tc>
        <w:tc>
          <w:tcPr>
            <w:tcW w:type="dxa" w:w="3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15% 反推投前 680，與 900 差 220。</w:t>
            </w:r>
          </w:p>
        </w:tc>
        <w:tc>
          <w:tcPr>
            <w:tcW w:type="dxa" w:w="455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Term Sheet 採何估值、股數與權利？</w:t>
            </w:r>
          </w:p>
        </w:tc>
        <w:tc>
          <w:tcPr>
            <w:tcW w:type="dxa" w:w="9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★☆☆☆☆ 1.0/5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投組經理</w:t>
            </w:r>
          </w:p>
        </w:tc>
        <w:tc>
          <w:tcPr>
            <w:tcW w:type="dxa" w:w="34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多組矛盾且 A 占 70%，先觀望。</w:t>
            </w:r>
          </w:p>
        </w:tc>
        <w:tc>
          <w:tcPr>
            <w:tcW w:type="dxa" w:w="455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能否一週內以文件消除矛盾？</w:t>
            </w:r>
          </w:p>
        </w:tc>
        <w:tc>
          <w:tcPr>
            <w:tcW w:type="dxa" w:w="9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★★☆☆☆ 1.5/5</w:t>
            </w:r>
          </w:p>
        </w:tc>
      </w:tr>
    </w:tbl>
    <w:p>
      <w:pPr>
        <w:spacing w:after="0" w:line="120" w:lineRule="auto"/>
      </w:pPr>
    </w:p>
    <w:p>
      <w:pPr>
        <w:pStyle w:val="Heading1"/>
      </w:pPr>
      <w:r>
        <w:rPr>
          <w:rFonts w:ascii="Arial" w:hAnsi="Arial" w:eastAsia="Microsoft JhengHei"/>
          <w:color w:val="1F4E79"/>
          <w:sz w:val="25"/>
        </w:rPr>
        <w:t>3. 亮點與疑慮</w:t>
      </w:r>
    </w:p>
    <w:p>
      <w:pPr>
        <w:pStyle w:val="Heading2"/>
      </w:pPr>
      <w:r>
        <w:rPr>
          <w:rFonts w:ascii="Arial" w:hAnsi="Arial" w:eastAsia="Microsoft JhengHei"/>
          <w:color w:val="1F4E79"/>
          <w:sz w:val="21"/>
        </w:rPr>
        <w:t>亮點</w:t>
      </w:r>
    </w:p>
    <w:p>
      <w:pPr>
        <w:spacing w:after="20"/>
        <w:numPr>
          <w:ilvl w:val="0"/>
          <w:numId w:val="10"/>
        </w:numPr>
      </w:pPr>
      <w:r>
        <w:rPr>
          <w:rFonts w:ascii="Arial" w:hAnsi="Arial" w:eastAsia="Microsoft JhengHei"/>
          <w:color w:val="000000"/>
          <w:sz w:val="17"/>
        </w:rPr>
        <w:t>營收由 2024 年 30 增至 2025 年 90；正確 YoY 200%，是待驗商業化訊號。</w:t>
      </w:r>
    </w:p>
    <w:p>
      <w:pPr>
        <w:spacing w:after="20"/>
        <w:numPr>
          <w:ilvl w:val="0"/>
          <w:numId w:val="10"/>
        </w:numPr>
      </w:pPr>
      <w:r>
        <w:rPr>
          <w:rFonts w:ascii="Arial" w:hAnsi="Arial" w:eastAsia="Microsoft JhengHei"/>
          <w:color w:val="000000"/>
          <w:sz w:val="17"/>
        </w:rPr>
        <w:t>描述 100 台部署、3 家付費客戶；若裝機與發票可核，可能已跨過概念期。</w:t>
      </w:r>
    </w:p>
    <w:p>
      <w:pPr>
        <w:spacing w:after="20"/>
        <w:numPr>
          <w:ilvl w:val="0"/>
          <w:numId w:val="10"/>
        </w:numPr>
      </w:pPr>
      <w:r>
        <w:rPr>
          <w:rFonts w:ascii="Arial" w:hAnsi="Arial" w:eastAsia="Microsoft JhengHei"/>
          <w:color w:val="000000"/>
          <w:sz w:val="17"/>
        </w:rPr>
        <w:t>研發占 72%，年費 0.12／台；若 95% 續約可由 cohort 證實，具經常收入潛力。</w:t>
      </w:r>
    </w:p>
    <w:p>
      <w:pPr>
        <w:pStyle w:val="Heading2"/>
      </w:pPr>
      <w:r>
        <w:rPr>
          <w:rFonts w:ascii="Arial" w:hAnsi="Arial" w:eastAsia="Microsoft JhengHei"/>
          <w:color w:val="1F4E79"/>
          <w:sz w:val="21"/>
        </w:rPr>
        <w:t>疑慮</w:t>
      </w:r>
    </w:p>
    <w:p>
      <w:pPr>
        <w:spacing w:after="20"/>
        <w:numPr>
          <w:ilvl w:val="0"/>
          <w:numId w:val="11"/>
        </w:numPr>
      </w:pPr>
      <w:r>
        <w:rPr>
          <w:rFonts w:ascii="Arial" w:hAnsi="Arial" w:eastAsia="Microsoft JhengHei"/>
          <w:color w:val="000000"/>
          <w:sz w:val="17"/>
        </w:rPr>
        <w:t>YoY、毛利率、收入、市占與估值不自洽，削弱財測可信度。</w:t>
      </w:r>
    </w:p>
    <w:p>
      <w:pPr>
        <w:spacing w:after="20"/>
        <w:numPr>
          <w:ilvl w:val="0"/>
          <w:numId w:val="11"/>
        </w:numPr>
      </w:pPr>
      <w:r>
        <w:rPr>
          <w:rFonts w:ascii="Arial" w:hAnsi="Arial" w:eastAsia="Microsoft JhengHei"/>
          <w:color w:val="000000"/>
          <w:sz w:val="17"/>
        </w:rPr>
        <w:t>客戶 A 占 70% 且合約未揭露，流失將扭曲成長與跑道。</w:t>
      </w:r>
    </w:p>
    <w:p>
      <w:pPr>
        <w:spacing w:after="20"/>
        <w:numPr>
          <w:ilvl w:val="0"/>
          <w:numId w:val="11"/>
        </w:numPr>
      </w:pPr>
      <w:r>
        <w:rPr>
          <w:rFonts w:ascii="Arial" w:hAnsi="Arial" w:eastAsia="Microsoft JhengHei"/>
          <w:color w:val="000000"/>
          <w:sz w:val="17"/>
        </w:rPr>
        <w:t>2026E 增長 166.7%、淨損轉淨利 30，但兩家新客戶無訂單或漏斗。</w:t>
      </w:r>
    </w:p>
    <w:p>
      <w:pPr>
        <w:pStyle w:val="Heading1"/>
      </w:pPr>
      <w:r>
        <w:rPr>
          <w:rFonts w:ascii="Arial" w:hAnsi="Arial" w:eastAsia="Microsoft JhengHei"/>
          <w:color w:val="1F4E79"/>
          <w:sz w:val="25"/>
        </w:rPr>
        <w:t>4. 規模與獲利天花板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規模／Scale：</w:t>
      </w:r>
      <w:r>
        <w:rPr>
          <w:rFonts w:ascii="Arial" w:hAnsi="Arial" w:eastAsia="Microsoft JhengHei"/>
          <w:color w:val="000000"/>
          <w:sz w:val="17"/>
        </w:rPr>
        <w:t>2025 營收 90、淨利率 −8.9%；財測增長逾 100% 卻無交付橋接。逐廠客製、40% 附掛率可能受人力限制（推測）；需證明版本共用、驗證期縮短及集中度下降。</w:t>
      </w:r>
    </w:p>
    <w:p>
      <w:pPr>
        <w:pStyle w:val="Heading1"/>
      </w:pPr>
      <w:r>
        <w:rPr>
          <w:rFonts w:ascii="Arial" w:hAnsi="Arial" w:eastAsia="Microsoft JhengHei"/>
          <w:color w:val="1F4E79"/>
          <w:sz w:val="25"/>
        </w:rPr>
        <w:t>5. 估值邊界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P/S 框架：</w:t>
      </w:r>
      <w:r>
        <w:rPr>
          <w:rFonts w:ascii="Arial" w:hAnsi="Arial" w:eastAsia="Microsoft JhengHei"/>
          <w:color w:val="000000"/>
          <w:sz w:val="17"/>
        </w:rPr>
        <w:t>保守／中性為營收 90／240 × 同業低位／中位 P/S；倍數 UNKNOWN，不得杜撰估值。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color w:val="000000"/>
          <w:sz w:val="17"/>
        </w:rPr>
        <w:t>本輪 15% 條件反推投後／投前為 NT$800／680 百萬元；Deck 明示投前 NT$900 百萬元，對應投後 NT$1,020 百萬元與持股 11.76%。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color w:val="000000"/>
          <w:sz w:val="17"/>
        </w:rPr>
        <w:t>內含 2025／2026E P/S 為 7.56–10.00x／2.83–3.75x，非外部估值。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不計算 IRR。</w:t>
      </w:r>
      <w:r>
        <w:rPr>
          <w:rFonts w:ascii="Arial" w:hAnsi="Arial" w:eastAsia="Microsoft JhengHei"/>
          <w:color w:val="000000"/>
          <w:sz w:val="17"/>
        </w:rPr>
        <w:t xml:space="preserve"> 估值與報酬待 Term Sheet、完全稀釋股數、每股入股價及股東權利補齊後，轉完整 DD 計算。</w:t>
      </w:r>
    </w:p>
    <w:p>
      <w:pPr>
        <w:pStyle w:val="Heading1"/>
      </w:pPr>
      <w:r>
        <w:rPr>
          <w:rFonts w:ascii="Arial" w:hAnsi="Arial" w:eastAsia="Microsoft JhengHei"/>
          <w:color w:val="1F4E79"/>
          <w:sz w:val="25"/>
        </w:rPr>
        <w:t>6. 管理層拷問</w:t>
      </w:r>
    </w:p>
    <w:p>
      <w:pPr>
        <w:spacing w:after="20"/>
        <w:numPr>
          <w:ilvl w:val="0"/>
          <w:numId w:val="12"/>
        </w:numPr>
      </w:pPr>
      <w:r>
        <w:rPr>
          <w:rFonts w:ascii="Arial" w:hAnsi="Arial" w:eastAsia="Microsoft JhengHei"/>
          <w:b/>
          <w:color w:val="000000"/>
          <w:sz w:val="17"/>
        </w:rPr>
        <w:t>財務誠信：</w:t>
      </w:r>
      <w:r>
        <w:rPr>
          <w:rFonts w:ascii="Arial" w:hAnsi="Arial" w:eastAsia="Microsoft JhengHei"/>
          <w:color w:val="000000"/>
          <w:sz w:val="17"/>
        </w:rPr>
        <w:t>請用帳／票／流水確認 YoY 及毛利率何者正確。</w:t>
      </w:r>
    </w:p>
    <w:p>
      <w:pPr>
        <w:spacing w:after="20"/>
        <w:numPr>
          <w:ilvl w:val="0"/>
          <w:numId w:val="12"/>
        </w:numPr>
      </w:pPr>
      <w:r>
        <w:rPr>
          <w:rFonts w:ascii="Arial" w:hAnsi="Arial" w:eastAsia="Microsoft JhengHei"/>
          <w:b/>
          <w:color w:val="000000"/>
          <w:sz w:val="17"/>
        </w:rPr>
        <w:t>財務誠信：</w:t>
      </w:r>
      <w:r>
        <w:rPr>
          <w:rFonts w:ascii="Arial" w:hAnsi="Arial" w:eastAsia="Microsoft JhengHei"/>
          <w:color w:val="000000"/>
          <w:sz w:val="17"/>
        </w:rPr>
        <w:t>軟體收入 27 如何由 40 × 0.12 構成？請列合約。</w:t>
      </w:r>
    </w:p>
    <w:p>
      <w:pPr>
        <w:spacing w:after="20"/>
        <w:numPr>
          <w:ilvl w:val="0"/>
          <w:numId w:val="12"/>
        </w:numPr>
      </w:pPr>
      <w:r>
        <w:rPr>
          <w:rFonts w:ascii="Arial" w:hAnsi="Arial" w:eastAsia="Microsoft JhengHei"/>
          <w:b/>
          <w:color w:val="000000"/>
          <w:sz w:val="17"/>
        </w:rPr>
        <w:t>財務誠信：</w:t>
      </w:r>
      <w:r>
        <w:rPr>
          <w:rFonts w:ascii="Arial" w:hAnsi="Arial" w:eastAsia="Microsoft JhengHei"/>
          <w:color w:val="000000"/>
          <w:sz w:val="17"/>
        </w:rPr>
        <w:t>有無關係人、提前認列或未驗收出貨？請附金額政策。</w:t>
      </w:r>
    </w:p>
    <w:p>
      <w:pPr>
        <w:spacing w:after="20"/>
        <w:numPr>
          <w:ilvl w:val="0"/>
          <w:numId w:val="12"/>
        </w:numPr>
      </w:pPr>
      <w:r>
        <w:rPr>
          <w:rFonts w:ascii="Arial" w:hAnsi="Arial" w:eastAsia="Microsoft JhengHei"/>
          <w:b/>
          <w:color w:val="000000"/>
          <w:sz w:val="17"/>
        </w:rPr>
        <w:t>財務／資金：</w:t>
      </w:r>
      <w:r>
        <w:rPr>
          <w:rFonts w:ascii="Arial" w:hAnsi="Arial" w:eastAsia="Microsoft JhengHei"/>
          <w:color w:val="000000"/>
          <w:sz w:val="17"/>
        </w:rPr>
        <w:t>現金、burn、帳齡、runway 各多少，募資如何對應里程碑？</w:t>
      </w:r>
    </w:p>
    <w:p>
      <w:pPr>
        <w:spacing w:after="20"/>
        <w:numPr>
          <w:ilvl w:val="0"/>
          <w:numId w:val="12"/>
        </w:numPr>
      </w:pPr>
      <w:r>
        <w:rPr>
          <w:rFonts w:ascii="Arial" w:hAnsi="Arial" w:eastAsia="Microsoft JhengHei"/>
          <w:b/>
          <w:color w:val="000000"/>
          <w:sz w:val="17"/>
        </w:rPr>
        <w:t>商業／市場：</w:t>
      </w:r>
      <w:r>
        <w:rPr>
          <w:rFonts w:ascii="Arial" w:hAnsi="Arial" w:eastAsia="Microsoft JhengHei"/>
          <w:color w:val="000000"/>
          <w:sz w:val="17"/>
        </w:rPr>
        <w:t>若占 70% 的 A 不續約，營收、毛利與跑道各多少？</w:t>
      </w:r>
    </w:p>
    <w:p>
      <w:pPr>
        <w:spacing w:after="20"/>
        <w:numPr>
          <w:ilvl w:val="0"/>
          <w:numId w:val="12"/>
        </w:numPr>
      </w:pPr>
      <w:r>
        <w:rPr>
          <w:rFonts w:ascii="Arial" w:hAnsi="Arial" w:eastAsia="Microsoft JhengHei"/>
          <w:b/>
          <w:color w:val="000000"/>
          <w:sz w:val="17"/>
        </w:rPr>
        <w:t>商業／市場：</w:t>
      </w:r>
      <w:r>
        <w:rPr>
          <w:rFonts w:ascii="Arial" w:hAnsi="Arial" w:eastAsia="Microsoft JhengHei"/>
          <w:color w:val="000000"/>
          <w:sz w:val="17"/>
        </w:rPr>
        <w:t>TAM 20,000、1%／5% 市占採何分母？請交原報告。</w:t>
      </w:r>
    </w:p>
    <w:p>
      <w:pPr>
        <w:spacing w:after="20"/>
        <w:numPr>
          <w:ilvl w:val="0"/>
          <w:numId w:val="12"/>
        </w:numPr>
      </w:pPr>
      <w:r>
        <w:rPr>
          <w:rFonts w:ascii="Arial" w:hAnsi="Arial" w:eastAsia="Microsoft JhengHei"/>
          <w:b/>
          <w:color w:val="000000"/>
          <w:sz w:val="17"/>
        </w:rPr>
        <w:t>技術／護城河：</w:t>
      </w:r>
      <w:r>
        <w:rPr>
          <w:rFonts w:ascii="Arial" w:hAnsi="Arial" w:eastAsia="Microsoft JhengHei"/>
          <w:color w:val="000000"/>
          <w:sz w:val="17"/>
        </w:rPr>
        <w:t>100 台的型號、KPI 及驗收為何，多少已量產？</w:t>
      </w:r>
    </w:p>
    <w:p>
      <w:pPr>
        <w:spacing w:after="20"/>
        <w:numPr>
          <w:ilvl w:val="0"/>
          <w:numId w:val="12"/>
        </w:numPr>
      </w:pPr>
      <w:r>
        <w:rPr>
          <w:rFonts w:ascii="Arial" w:hAnsi="Arial" w:eastAsia="Microsoft JhengHei"/>
          <w:b/>
          <w:color w:val="000000"/>
          <w:sz w:val="17"/>
        </w:rPr>
        <w:t>技術／護城河：</w:t>
      </w:r>
      <w:r>
        <w:rPr>
          <w:rFonts w:ascii="Arial" w:hAnsi="Arial" w:eastAsia="Microsoft JhengHei"/>
          <w:color w:val="000000"/>
          <w:sz w:val="17"/>
        </w:rPr>
        <w:t>8 件專利的號碼、權利人、狀態及覆蓋產品為何？</w:t>
      </w:r>
    </w:p>
    <w:p>
      <w:pPr>
        <w:spacing w:after="20"/>
        <w:numPr>
          <w:ilvl w:val="0"/>
          <w:numId w:val="12"/>
        </w:numPr>
      </w:pPr>
      <w:r>
        <w:rPr>
          <w:rFonts w:ascii="Arial" w:hAnsi="Arial" w:eastAsia="Microsoft JhengHei"/>
          <w:b/>
          <w:color w:val="000000"/>
          <w:sz w:val="17"/>
        </w:rPr>
        <w:t>治理／資本：</w:t>
      </w:r>
      <w:r>
        <w:rPr>
          <w:rFonts w:ascii="Arial" w:hAnsi="Arial" w:eastAsia="Microsoft JhengHei"/>
          <w:color w:val="000000"/>
          <w:sz w:val="17"/>
        </w:rPr>
        <w:t>投前採 680 或 900？請交 Term Sheet、股數與權利。</w:t>
      </w:r>
    </w:p>
    <w:p>
      <w:pPr>
        <w:spacing w:after="20"/>
        <w:numPr>
          <w:ilvl w:val="0"/>
          <w:numId w:val="12"/>
        </w:numPr>
      </w:pPr>
      <w:r>
        <w:rPr>
          <w:rFonts w:ascii="Arial" w:hAnsi="Arial" w:eastAsia="Microsoft JhengHei"/>
          <w:b/>
          <w:color w:val="000000"/>
          <w:sz w:val="17"/>
        </w:rPr>
        <w:t>治理／升級：</w:t>
      </w:r>
      <w:r>
        <w:rPr>
          <w:rFonts w:ascii="Arial" w:hAnsi="Arial" w:eastAsia="Microsoft JhengHei"/>
          <w:color w:val="000000"/>
          <w:sz w:val="17"/>
        </w:rPr>
        <w:t>能否一週內用可核文件消除四類矛盾並由主管簽認？</w:t>
      </w:r>
    </w:p>
    <w:p>
      <w:pPr>
        <w:pStyle w:val="Heading1"/>
      </w:pPr>
      <w:r>
        <w:rPr>
          <w:rFonts w:ascii="Arial" w:hAnsi="Arial" w:eastAsia="Microsoft JhengHei"/>
          <w:color w:val="1F4E79"/>
          <w:sz w:val="25"/>
        </w:rPr>
        <w:t>7. 必取資料清單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[紅旗] 必要：</w:t>
      </w:r>
      <w:r>
        <w:rPr>
          <w:rFonts w:ascii="Arial" w:hAnsi="Arial" w:eastAsia="Microsoft JhengHei"/>
          <w:color w:val="000000"/>
          <w:sz w:val="17"/>
        </w:rPr>
        <w:t>近 2–3 年財報／總帳／流水；股東名冊、cap table、Term Sheet；月度三表及收入拆分。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[注意] 重要：</w:t>
      </w:r>
      <w:r>
        <w:rPr>
          <w:rFonts w:ascii="Arial" w:hAnsi="Arial" w:eastAsia="Microsoft JhengHei"/>
          <w:color w:val="000000"/>
          <w:sz w:val="17"/>
        </w:rPr>
        <w:t>財測、客戶漏斗／訂單、三家合約與 cohort；100 台裝機、BOM、CapEx。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[亮點] 補充：</w:t>
      </w:r>
      <w:r>
        <w:rPr>
          <w:rFonts w:ascii="Arial" w:hAnsi="Arial" w:eastAsia="Microsoft JhengHei"/>
          <w:color w:val="000000"/>
          <w:sz w:val="17"/>
        </w:rPr>
        <w:t>專利權利人、claim mapping、FTO；產品規格、客戶測試、競品 benchmark、認證。</w:t>
      </w:r>
    </w:p>
    <w:p>
      <w:pPr>
        <w:pStyle w:val="Heading1"/>
      </w:pPr>
      <w:r>
        <w:rPr>
          <w:rFonts w:ascii="Arial" w:hAnsi="Arial" w:eastAsia="Microsoft JhengHei"/>
          <w:color w:val="1F4E79"/>
          <w:sz w:val="25"/>
        </w:rPr>
        <w:t>8. 初判與升級條件</w:t>
      </w:r>
    </w:p>
    <w:tbl>
      <w:tblPr>
        <w:tblStyle w:val="TableGrid"/>
        <w:tblW w:type="dxa" w:w="106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9"/>
        <w:gridCol w:w="3689"/>
        <w:gridCol w:w="4508"/>
      </w:tblGrid>
      <w:tr>
        <w:trPr>
          <w:tblHeader w:val="true"/>
          <w:cantSplit/>
        </w:trPr>
        <w:tc>
          <w:tcPr>
            <w:tcW w:type="dxa" w:w="245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專家</w:t>
            </w:r>
          </w:p>
        </w:tc>
        <w:tc>
          <w:tcPr>
            <w:tcW w:type="dxa" w:w="368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★</w:t>
            </w:r>
          </w:p>
        </w:tc>
        <w:tc>
          <w:tcPr>
            <w:tcW w:type="dxa" w:w="450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6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6"/>
              </w:rPr>
              <w:t>一句話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技術顧問</w:t>
            </w:r>
          </w:p>
        </w:tc>
        <w:tc>
          <w:tcPr>
            <w:tcW w:type="dxa" w:w="368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2.0/5</w:t>
            </w:r>
          </w:p>
        </w:tc>
        <w:tc>
          <w:tcPr>
            <w:tcW w:type="dxa" w:w="450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部署、專利均待驗。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產業分析師</w:t>
            </w:r>
          </w:p>
        </w:tc>
        <w:tc>
          <w:tcPr>
            <w:tcW w:type="dxa" w:w="368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1.5/5</w:t>
            </w:r>
          </w:p>
        </w:tc>
        <w:tc>
          <w:tcPr>
            <w:tcW w:type="dxa" w:w="450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市占算術不符。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商業模式顧問</w:t>
            </w:r>
          </w:p>
        </w:tc>
        <w:tc>
          <w:tcPr>
            <w:tcW w:type="dxa" w:w="368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1.5/5</w:t>
            </w:r>
          </w:p>
        </w:tc>
        <w:tc>
          <w:tcPr>
            <w:tcW w:type="dxa" w:w="450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A 占 70%、授權缺口。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財務分析師</w:t>
            </w:r>
          </w:p>
        </w:tc>
        <w:tc>
          <w:tcPr>
            <w:tcW w:type="dxa" w:w="368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1.0/5</w:t>
            </w:r>
          </w:p>
        </w:tc>
        <w:tc>
          <w:tcPr>
            <w:tcW w:type="dxa" w:w="450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財務多處不自洽。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估值師</w:t>
            </w:r>
          </w:p>
        </w:tc>
        <w:tc>
          <w:tcPr>
            <w:tcW w:type="dxa" w:w="368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1.0/5</w:t>
            </w:r>
          </w:p>
        </w:tc>
        <w:tc>
          <w:tcPr>
            <w:tcW w:type="dxa" w:w="450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投前估值差 220。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投組經理</w:t>
            </w:r>
          </w:p>
        </w:tc>
        <w:tc>
          <w:tcPr>
            <w:tcW w:type="dxa" w:w="368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1.5/5</w:t>
            </w:r>
          </w:p>
        </w:tc>
        <w:tc>
          <w:tcPr>
            <w:tcW w:type="dxa" w:w="450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文件核驗前觀望。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000000"/>
                <w:sz w:val="16"/>
              </w:rPr>
              <w:t>平均</w:t>
            </w:r>
          </w:p>
        </w:tc>
        <w:tc>
          <w:tcPr>
            <w:tcW w:type="dxa" w:w="368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b/>
                <w:color w:val="000000"/>
                <w:sz w:val="16"/>
              </w:rPr>
              <w:t>1.4/5</w:t>
            </w:r>
          </w:p>
        </w:tc>
        <w:tc>
          <w:tcPr>
            <w:tcW w:type="dxa" w:w="450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JhengHei"/>
                <w:color w:val="000000"/>
                <w:sz w:val="16"/>
              </w:rPr>
              <w:t>僅供收斂。</w:t>
            </w:r>
          </w:p>
        </w:tc>
      </w:tr>
    </w:tbl>
    <w:p>
      <w:pPr>
        <w:spacing w:after="0" w:line="120" w:lineRule="auto"/>
      </w:pP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初判：[注意] 觀望追蹤。</w:t>
      </w:r>
      <w:r>
        <w:rPr>
          <w:rFonts w:ascii="Arial" w:hAnsi="Arial" w:eastAsia="Microsoft JhengHei"/>
          <w:color w:val="000000"/>
          <w:sz w:val="17"/>
        </w:rPr>
        <w:t xml:space="preserve"> 數字矛盾、A 占 70% 且技術待驗，不支持估值。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觸發 DD：</w:t>
      </w:r>
      <w:r>
        <w:rPr>
          <w:rFonts w:ascii="Arial" w:hAnsi="Arial" w:eastAsia="Microsoft JhengHei"/>
          <w:color w:val="000000"/>
          <w:sz w:val="17"/>
        </w:rPr>
        <w:t>帳票、合約、驗收、專利與 Term Sheet 可互相勾稽。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反向條件：</w:t>
      </w:r>
      <w:r>
        <w:rPr>
          <w:rFonts w:ascii="Arial" w:hAnsi="Arial" w:eastAsia="Microsoft JhengHei"/>
          <w:color w:val="000000"/>
          <w:sz w:val="17"/>
        </w:rPr>
        <w:t>文件可調節且訂單、KPI 可重複則進 DD；拒絕或再有重大差異則 Pass。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b/>
          <w:color w:val="000000"/>
          <w:sz w:val="17"/>
        </w:rPr>
        <w:t>升級條件：</w:t>
      </w:r>
      <w:r>
        <w:rPr>
          <w:rFonts w:ascii="Arial" w:hAnsi="Arial" w:eastAsia="Microsoft JhengHei"/>
          <w:color w:val="000000"/>
          <w:sz w:val="17"/>
        </w:rPr>
        <w:t>拿到〔[紅旗] 必要清單〕後，轉用 vc-investment-evaluator 跑完整 DD（事實底稿→六專家→估值→IRR→IC 簡報）。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Microsoft JhengHei"/>
          <w:color w:val="000000"/>
          <w:sz w:val="17"/>
        </w:rPr>
        <w:t>進一步DD / 觀望 / Pass：【GP 填入】</w:t>
      </w:r>
    </w:p>
    <w:p>
      <w:r>
        <w:rPr>
          <w:rFonts w:ascii="Arial" w:hAnsi="Arial" w:eastAsia="Microsoft JhengHei"/>
          <w:color w:val="000000"/>
          <w:sz w:val="18"/>
        </w:rPr>
        <w:t>本初篩為初步研究觀察，非投資建議；數字多未經查核，投資決策由 GP 自行判斷。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792" w:bottom="605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JhengHei"/>
        <w:color w:val="666666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Arial" w:hAnsi="Arial" w:eastAsia="Microsoft JhengHei"/>
        <w:b/>
        <w:color w:val="666666"/>
        <w:sz w:val="16"/>
      </w:rPr>
      <w:t>VC QUICK SCREEN  |  初步研究觀察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1000009"/>
    <w:multiLevelType w:val="singleLevel"/>
    <w:tmpl w:val="B1000009"/>
    <w:lvl w:ilvl="0">
      <w:start w:val="1"/>
      <w:numFmt w:val="decimal"/>
      <w:lvlText w:val="%1."/>
      <w:suff w:val="space"/>
      <w:lvlJc w:val="left"/>
      <w:pPr>
        <w:tabs>
          <w:tab w:val="num" w:pos="720"/>
        </w:tabs>
        <w:ind w:left="720" w:hanging="360"/>
      </w:pPr>
    </w:lvl>
  </w:abstractNum>
  <w:abstractNum w:abstractNumId="10">
    <w:nsid w:val="A100000A"/>
    <w:multiLevelType w:val="singleLevel"/>
    <w:tmpl w:val="B100000A"/>
    <w:lvl w:ilvl="0">
      <w:start w:val="1"/>
      <w:numFmt w:val="decimal"/>
      <w:lvlText w:val="%1."/>
      <w:suff w:val="space"/>
      <w:lvlJc w:val="left"/>
      <w:pPr>
        <w:tabs>
          <w:tab w:val="num" w:pos="720"/>
        </w:tabs>
        <w:ind w:left="720" w:hanging="360"/>
      </w:pPr>
    </w:lvl>
  </w:abstractNum>
  <w:abstractNum w:abstractNumId="11">
    <w:nsid w:val="A100000B"/>
    <w:multiLevelType w:val="singleLevel"/>
    <w:tmpl w:val="B100000B"/>
    <w:lvl w:ilvl="0">
      <w:start w:val="1"/>
      <w:numFmt w:val="decimal"/>
      <w:lvlText w:val="%1."/>
      <w:suff w:val="space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rial" w:hAnsi="Arial" w:eastAsia="Microsoft Jheng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rFonts w:ascii="Arial" w:hAnsi="Arial" w:eastAsia="Microsoft JhengHei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ckScreenNote">
    <w:name w:val="Quick Screen Note"/>
    <w:pPr>
      <w:spacing w:after="60"/>
      <w:ind w:left="216"/>
    </w:pPr>
    <w:rPr>
      <w:rFonts w:ascii="Arial" w:hAnsi="Arial" w:eastAsia="Microsoft JhengHei"/>
      <w:i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星橋邊緣運算｜初篩備忘 v1</dc:title>
  <dc:subject>VC quick-screen research observation</dc:subject>
  <dc:creator>VC Quick Screen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