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40"/>
          <w:szCs w:val="40"/>
          <w:rtl w:val="0"/>
        </w:rPr>
        <w:t xml:space="preserve">Muscle Heatmap — Feature 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0"/>
        </w:rPr>
        <w:t xml:space="preserve">Two-tab feature: Volume Heatmap + Strength Heatmap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32"/>
          <w:szCs w:val="32"/>
          <w:rtl w:val="0"/>
        </w:rPr>
        <w:t xml:space="preserve">Part 1 — Volume Heatmap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This tab shows how much each muscle has been trained so far in the current week. The body figure lights up based on accumulated weekly set count per muscle group.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6"/>
          <w:szCs w:val="26"/>
          <w:rtl w:val="0"/>
        </w:rPr>
        <w:t xml:space="preserve">Muscle list below the figure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Below the front/back body SVG, show a grid of cards — one per muscle — displaying: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Muscle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Set count for the current view (e.g. "14 sets / 22 target")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 small heat bar showing percentage of weekly 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 colored dot matching the heatmap color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8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32"/>
          <w:szCs w:val="32"/>
          <w:rtl w:val="0"/>
        </w:rPr>
        <w:t xml:space="preserve">Part 2 — Strength Heatmap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A second mode alongside Volume. Same body figure, same front/back silhouette — different coloring. Colors each muscle based on how strong it is relative to what's expected for the user's bodyweight and training 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left w:color="aaaaaa" w:space="0" w:sz="12" w:val="single"/>
        </w:pBdr>
        <w:spacing w:after="80" w:before="8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Green = meeting or exceeding the standard for their weight. Red = lagging behind.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6"/>
          <w:szCs w:val="26"/>
          <w:rtl w:val="0"/>
        </w:rPr>
        <w:t xml:space="preserve">One-time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When the user first opens the Strength tab, ask for two things: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Bodyweight in lbs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Training level: Beginner / Intermediate / Advanced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Once set, show a small editable summary line at the top of the tab (e.g. "175 lbs · Intermediate — Edit") that reopens the form when tapped.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6"/>
          <w:szCs w:val="26"/>
          <w:rtl w:val="0"/>
        </w:rPr>
        <w:t xml:space="preserve">Lift inputs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Show one input row per key lift. Each row has a weight field (lbs) and a reps field. Auto-calculate and display the estimated 1RM inline using the Epley formula: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Rule="auto"/>
        <w:ind w:left="60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Estimated 1RM = weight × (1 + reps ÷ 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Lift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Primary muscle(s)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Secondary muscle(s)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Overhead 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Front delt, Lateral delt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Triceps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Incline Barbell Press @ 30°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Upper chest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Front delt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Pull-Up / Lat Pulldown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Lats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Mid back, Biceps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Seated Cable 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Mid 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Lats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Hammer Curl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Brachioradialis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Biceps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Skull Crusher / Overhead Tricep 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Triceps (long head)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Hack Squat / Leg 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Quads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Glutes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Romanian Deadlift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Hamstrings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Glutes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Standing Calf Raise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Calves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left w:color="aaaaaa" w:space="0" w:sz="12" w:val="single"/>
        </w:pBdr>
        <w:spacing w:after="80" w:before="8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Muscles with no direct lift — rear delts, forearm extensors/flexors — show as gray on the map with an "untracked" label. They are not scored.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left w:color="aaaaaa" w:space="0" w:sz="12" w:val="single"/>
        </w:pBdr>
        <w:spacing w:after="80" w:before="8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For pull-ups: the weight entered is added weight only. Enter 0 if doing bodyweight pull-ups.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6"/>
          <w:szCs w:val="26"/>
          <w:rtl w:val="0"/>
        </w:rPr>
        <w:t xml:space="preserve">Strength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Expected 1RM expressed as a multiplier of bodyweight, by training level: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8"/>
        <w:gridCol w:w="2184"/>
        <w:gridCol w:w="2184"/>
        <w:gridCol w:w="2184"/>
        <w:tblGridChange w:id="0">
          <w:tblGrid>
            <w:gridCol w:w="2808"/>
            <w:gridCol w:w="2184"/>
            <w:gridCol w:w="2184"/>
            <w:gridCol w:w="21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Lift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Beginner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Intermediate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Advanced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Overhead 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0.45×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0.75×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1.1×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Incline 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0.60×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0.95×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1.35×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Pull-Up (added weight)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0×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0.25×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0.75×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Seated 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0.60×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0.90×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1.25×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Hammer Curl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0.15×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0.25×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0.40×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Skull Crusher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0.30×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0.50×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0.75×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Hack Squat / Leg 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1.0×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1.75×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2.5×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Romanian Deadlift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0.75×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1.25×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1.75×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Calf Raise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0.75×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1.25×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1.75×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6"/>
          <w:szCs w:val="26"/>
          <w:rtl w:val="0"/>
        </w:rPr>
        <w:t xml:space="preserve">Score 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For each muscle, find all lifts that map to it. Calculate a ratio for each: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before="60" w:lineRule="auto"/>
        <w:ind w:left="60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ratio = estimated1RM ÷ (standard × bodyweight)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Primary muscle mapping: use the ratio directly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Secondary muscle mapping: multiply the ratio by 0.6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If a muscle has multiple lifts mapping to it, average all the ratios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6"/>
          <w:szCs w:val="26"/>
          <w:rtl w:val="0"/>
        </w:rPr>
        <w:t xml:space="preserve">Color scale — Strength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4680"/>
        <w:tblGridChange w:id="0">
          <w:tblGrid>
            <w:gridCol w:w="2340"/>
            <w:gridCol w:w="234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Below 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Deep 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Significantly lagging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0.6 – 0.79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Below 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0.8 – 0.99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Close to 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1.0 – 1.19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Neutral / 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At 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1.2 – 1.49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Light green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Above 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1.5+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Bright green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Well above standard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6"/>
          <w:szCs w:val="26"/>
          <w:rtl w:val="0"/>
        </w:rPr>
        <w:t xml:space="preserve">Muscle list below the figure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Same grid layout as the Volume tab, but each card shows: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Muscle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Estimated 1RM (or "—" if no lift logged)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Target 1RM for their level (e.g. "target 210 lbs")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Percentage of standard (e.g. "88%")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Colored dot matching the heatmap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Muscles with no data show "Log a lift" in gray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60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O0vN/0WKEohXbZk9Tac36HH7ew==">CgMxLjA4AHIhMV94V1FVZlh0b1ZxMGxGT2wweTgtR1FKaTUxWUdFeUJ6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2026-03-26T11:57:58.766Z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