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 xml:space="preserve">Jason Blauvelt, </w:t>
      </w:r>
      <w:r>
        <w:t xml:space="preserve">Geoffrey Link, Megan </w:t>
      </w:r>
      <w:proofErr w:type="spellStart"/>
      <w:r>
        <w:t>Pera</w:t>
      </w:r>
      <w:proofErr w:type="spellEnd"/>
      <w:r>
        <w:t xml:space="preserve">, </w:t>
      </w:r>
      <w:proofErr w:type="spellStart"/>
      <w:r>
        <w:t>Guangzhi</w:t>
      </w:r>
      <w:proofErr w:type="spellEnd"/>
      <w:r>
        <w:t xml:space="preserve"> ‘Frank’ </w:t>
      </w:r>
      <w:proofErr w:type="spellStart"/>
      <w:r>
        <w:t>Xie</w:t>
      </w:r>
      <w:proofErr w:type="spellEnd"/>
    </w:p>
    <w:p w:rsidR="000E5C0F" w:rsidRDefault="000E5C0F" w:rsidP="000E5C0F">
      <w:pPr>
        <w:spacing w:after="0" w:line="240" w:lineRule="auto"/>
      </w:pPr>
    </w:p>
    <w:p w:rsidR="000E5C0F" w:rsidRDefault="000E5C0F"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1"/>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documents is an option only a few organizations can afford; </w:t>
      </w:r>
      <w:r w:rsidR="00BB7148">
        <w:t xml:space="preserve">moreover, this process is </w:t>
      </w:r>
      <w:r>
        <w:t>subject to human error and fatigue.</w:t>
      </w:r>
      <w:r>
        <w:rPr>
          <w:rStyle w:val="FootnoteReference"/>
        </w:rPr>
        <w:footnoteReference w:id="2"/>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3"/>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4"/>
      </w:r>
      <w:r w:rsidR="00C62B2E">
        <w:t xml:space="preserve">  Enron’s auditor, Arthur Andersen, was found guilty of illegally destroying documents relevant to the SEC investigation.  Similar to financial </w:t>
      </w:r>
      <w:r w:rsidR="00E76719">
        <w:t xml:space="preserve">institutions after the financial crisis of 2008, Enron elected to disclose minimal details on its use of special purpose entities; example of which include: JEDI, </w:t>
      </w:r>
      <w:proofErr w:type="spellStart"/>
      <w:r w:rsidR="00E76719">
        <w:t>Chewco</w:t>
      </w:r>
      <w:proofErr w:type="spellEnd"/>
      <w:r w:rsidR="00E76719">
        <w:t xml:space="preserve">, </w:t>
      </w:r>
      <w:proofErr w:type="spellStart"/>
      <w:r w:rsidR="00E76719">
        <w:t>Whitewing</w:t>
      </w:r>
      <w:proofErr w:type="spellEnd"/>
      <w:r w:rsidR="00E76719">
        <w:t>, and LJM.</w:t>
      </w:r>
    </w:p>
    <w:p w:rsidR="00E76719" w:rsidRDefault="00E76719" w:rsidP="000E5C0F">
      <w:pPr>
        <w:spacing w:after="0" w:line="240" w:lineRule="auto"/>
      </w:pPr>
    </w:p>
    <w:p w:rsidR="00E76719" w:rsidRDefault="00E76719" w:rsidP="000E5C0F">
      <w:pPr>
        <w:spacing w:after="0" w:line="240" w:lineRule="auto"/>
      </w:pPr>
      <w:bookmarkStart w:id="0" w:name="_GoBack"/>
      <w:bookmarkEnd w:id="0"/>
    </w:p>
    <w:sectPr w:rsidR="00E76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2">
    <w:p w:rsidR="00394A28" w:rsidRDefault="00394A28">
      <w:pPr>
        <w:pStyle w:val="FootnoteText"/>
      </w:pPr>
      <w:r>
        <w:rPr>
          <w:rStyle w:val="FootnoteReference"/>
        </w:rPr>
        <w:footnoteRef/>
      </w:r>
      <w:r>
        <w:t xml:space="preserve"> CNN, The fall and rise of lawyers, 2015. </w:t>
      </w:r>
      <w:r w:rsidRPr="00394A28">
        <w:t>cnn.com/2015/05/22/opinions/</w:t>
      </w:r>
      <w:proofErr w:type="spellStart"/>
      <w:r w:rsidRPr="00394A28">
        <w:t>barton</w:t>
      </w:r>
      <w:proofErr w:type="spellEnd"/>
      <w:r w:rsidRPr="00394A28">
        <w:t>-rise-and-fall-of-lawyers/</w:t>
      </w:r>
    </w:p>
  </w:footnote>
  <w:footnote w:id="3">
    <w:p w:rsidR="00210B03" w:rsidRDefault="00210B03">
      <w:pPr>
        <w:pStyle w:val="FootnoteText"/>
      </w:pPr>
      <w:r>
        <w:rPr>
          <w:rStyle w:val="FootnoteReference"/>
        </w:rPr>
        <w:footnoteRef/>
      </w:r>
      <w:r>
        <w:t xml:space="preserve"> Amazon Web Services, Enron Email Data, </w:t>
      </w:r>
      <w:r w:rsidRPr="00210B03">
        <w:t>aws.amazon.com/datasets/</w:t>
      </w:r>
      <w:proofErr w:type="spellStart"/>
      <w:r w:rsidRPr="00210B03">
        <w:t>enron</w:t>
      </w:r>
      <w:proofErr w:type="spellEnd"/>
      <w:r w:rsidRPr="00210B03">
        <w:t>-email-data/</w:t>
      </w:r>
    </w:p>
  </w:footnote>
  <w:footnote w:id="4">
    <w:p w:rsidR="00C62B2E" w:rsidRDefault="00C62B2E">
      <w:pPr>
        <w:pStyle w:val="FootnoteText"/>
      </w:pPr>
      <w:r>
        <w:rPr>
          <w:rStyle w:val="FootnoteReference"/>
        </w:rPr>
        <w:footnoteRef/>
      </w:r>
      <w:r>
        <w:t xml:space="preserve"> Wikipedia, Enron scandal, </w:t>
      </w:r>
      <w:r w:rsidRPr="00C62B2E">
        <w:t>en.wikipedia.org/wiki/</w:t>
      </w:r>
      <w:proofErr w:type="spellStart"/>
      <w:r w:rsidRPr="00C62B2E">
        <w:t>Enron_scandal</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E5C0F"/>
    <w:rsid w:val="00160D08"/>
    <w:rsid w:val="00210B03"/>
    <w:rsid w:val="00394A28"/>
    <w:rsid w:val="005635AD"/>
    <w:rsid w:val="005C5D03"/>
    <w:rsid w:val="0085565E"/>
    <w:rsid w:val="00AC180E"/>
    <w:rsid w:val="00BB7148"/>
    <w:rsid w:val="00C62B2E"/>
    <w:rsid w:val="00E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81D7-48C3-4463-A707-8E9EB1BD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8</cp:revision>
  <dcterms:created xsi:type="dcterms:W3CDTF">2016-08-14T13:21:00Z</dcterms:created>
  <dcterms:modified xsi:type="dcterms:W3CDTF">2016-08-14T14:11:00Z</dcterms:modified>
</cp:coreProperties>
</file>