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5A55" w:rsidRDefault="005404CC">
      <w:pPr>
        <w:spacing w:after="60"/>
      </w:pPr>
      <w:bookmarkStart w:id="0" w:name="_GoBack"/>
      <w:bookmarkEnd w:id="0"/>
      <w:r>
        <w:rPr>
          <w:b/>
          <w:color w:val="8A6D3B"/>
          <w:sz w:val="18"/>
        </w:rPr>
        <w:t>WERKCREW  ·  SYSTEM SPECIFICATION</w:t>
      </w:r>
    </w:p>
    <w:p w:rsidR="00C05A55" w:rsidRDefault="005404CC">
      <w:pPr>
        <w:spacing w:before="200" w:after="60"/>
      </w:pPr>
      <w:r>
        <w:rPr>
          <w:b/>
          <w:color w:val="1B2A4A"/>
          <w:sz w:val="56"/>
        </w:rPr>
        <w:t>WERKcrew Decision Assurance Pack v0.1</w:t>
      </w:r>
    </w:p>
    <w:p w:rsidR="00C05A55" w:rsidRDefault="005404CC">
      <w:pPr>
        <w:spacing w:before="80" w:after="120"/>
      </w:pPr>
      <w:r>
        <w:rPr>
          <w:color w:val="333333"/>
          <w:sz w:val="24"/>
        </w:rPr>
        <w:t>v0.1  —  ślad, sprzeciw, VOICE, replay i testy blokujące</w:t>
      </w:r>
    </w:p>
    <w:p w:rsidR="00C05A55" w:rsidRDefault="005404CC">
      <w:pPr>
        <w:spacing w:before="80" w:after="160" w:line="259" w:lineRule="auto"/>
      </w:pPr>
      <w:r>
        <w:rPr>
          <w:i/>
          <w:color w:val="4A4033"/>
          <w:sz w:val="18"/>
        </w:rPr>
        <w:t>Minimalny kontrakt śladu, replay, sprzeciwu, komunikacji i testów bezpieczeństwa.</w:t>
      </w:r>
    </w:p>
    <w:tbl>
      <w:tblPr>
        <w:tblW w:w="9634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5"/>
        <w:gridCol w:w="7959"/>
      </w:tblGrid>
      <w:tr w:rsidR="00C05A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75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b/>
                <w:color w:val="FFFFFF"/>
                <w:sz w:val="16"/>
              </w:rPr>
              <w:t>Pole</w:t>
            </w:r>
          </w:p>
        </w:tc>
        <w:tc>
          <w:tcPr>
            <w:tcW w:w="7959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b/>
                <w:color w:val="FFFFFF"/>
                <w:sz w:val="16"/>
              </w:rPr>
              <w:t>Wartość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16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Wersja</w:t>
            </w:r>
          </w:p>
        </w:tc>
        <w:tc>
          <w:tcPr>
            <w:tcW w:w="79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0.1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167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Status</w:t>
            </w:r>
          </w:p>
        </w:tc>
        <w:tc>
          <w:tcPr>
            <w:tcW w:w="7959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 xml:space="preserve">USTALONE jako minimalny pakiet przed implementacją </w:t>
            </w:r>
            <w:r>
              <w:rPr>
                <w:rFonts w:ascii="Courier New" w:hAnsi="Courier New"/>
                <w:color w:val="1B2A4A"/>
                <w:sz w:val="15"/>
              </w:rPr>
              <w:t>CONSTRAINED_AUTO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167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Data</w:t>
            </w:r>
          </w:p>
        </w:tc>
        <w:tc>
          <w:tcPr>
            <w:tcW w:w="795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2026-09-02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1675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Podstawa</w:t>
            </w:r>
          </w:p>
        </w:tc>
        <w:tc>
          <w:tcPr>
            <w:tcW w:w="7959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Constitution v1.1, State &amp; Transition Matrix v1.1, ADR-0010</w:t>
            </w:r>
          </w:p>
        </w:tc>
      </w:tr>
    </w:tbl>
    <w:p w:rsidR="00C05A55" w:rsidRDefault="00C05A55">
      <w:pPr>
        <w:spacing w:after="20"/>
      </w:pPr>
    </w:p>
    <w:p w:rsidR="00C05A55" w:rsidRDefault="005404CC">
      <w:pPr>
        <w:pStyle w:val="Nagwek2"/>
        <w:keepNext/>
        <w:spacing w:before="160" w:after="60"/>
      </w:pPr>
      <w:r>
        <w:t>1. Cel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Decision Assurance Pack ma umożliwić odpowiedź na pięć pytań bez dostępu do pamięci modelu:</w:t>
      </w:r>
    </w:p>
    <w:p w:rsidR="00C05A55" w:rsidRDefault="005404CC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color w:val="222222"/>
        </w:rPr>
        <w:t>Co system wiedział w chwili decyzji?</w:t>
      </w:r>
    </w:p>
    <w:p w:rsidR="00C05A55" w:rsidRDefault="005404CC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color w:val="222222"/>
        </w:rPr>
        <w:t>Co uznał za fakt, brak, konflikt albo warunek?</w:t>
      </w:r>
    </w:p>
    <w:p w:rsidR="00C05A55" w:rsidRDefault="005404CC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color w:val="222222"/>
        </w:rPr>
        <w:t>Kto miał władzę i co faktycznie zatwierdził?</w:t>
      </w:r>
    </w:p>
    <w:p w:rsidR="00C05A55" w:rsidRDefault="005404CC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color w:val="222222"/>
        </w:rPr>
        <w:t>Co zostało wykonane lub zakomunikowane?</w:t>
      </w:r>
    </w:p>
    <w:p w:rsidR="00C05A55" w:rsidRDefault="005404CC">
      <w:pPr>
        <w:pStyle w:val="Akapitzlist"/>
        <w:numPr>
          <w:ilvl w:val="0"/>
          <w:numId w:val="3"/>
        </w:numPr>
        <w:spacing w:before="20" w:after="40" w:line="259" w:lineRule="auto"/>
      </w:pPr>
      <w:r>
        <w:rPr>
          <w:color w:val="222222"/>
        </w:rPr>
        <w:t>Co wydarzyło się później i czy zmienia politykę?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Łańcuch myśli modelu nie jest dowodem </w:t>
      </w:r>
      <w:r>
        <w:rPr>
          <w:color w:val="222222"/>
        </w:rPr>
        <w:t>i nie jest częścią śladu.</w:t>
      </w:r>
    </w:p>
    <w:p w:rsidR="00C05A55" w:rsidRDefault="005404CC">
      <w:pPr>
        <w:pStyle w:val="Nagwek2"/>
        <w:keepNext/>
        <w:spacing w:before="160" w:after="60"/>
      </w:pPr>
      <w:r>
        <w:t>2. Jednostka śladu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Każdy </w:t>
      </w:r>
      <w:r>
        <w:rPr>
          <w:rFonts w:ascii="Courier New" w:hAnsi="Courier New"/>
          <w:color w:val="1B2A4A"/>
          <w:sz w:val="18"/>
        </w:rPr>
        <w:t>decision_record</w:t>
      </w:r>
      <w:r>
        <w:rPr>
          <w:color w:val="222222"/>
        </w:rPr>
        <w:t xml:space="preserve"> jest niemutowalny i zawiera co najmniej:</w:t>
      </w:r>
    </w:p>
    <w:tbl>
      <w:tblPr>
        <w:tblW w:w="9634" w:type="dxa"/>
        <w:tblInd w:w="1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4"/>
        <w:gridCol w:w="7040"/>
      </w:tblGrid>
      <w:tr w:rsidR="00C05A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4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b/>
                <w:color w:val="FFFFFF"/>
                <w:sz w:val="16"/>
              </w:rPr>
              <w:t>Grupa</w:t>
            </w:r>
          </w:p>
        </w:tc>
        <w:tc>
          <w:tcPr>
            <w:tcW w:w="7040" w:type="dxa"/>
            <w:shd w:val="clear" w:color="auto" w:fill="1B2A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b/>
                <w:color w:val="FFFFFF"/>
                <w:sz w:val="16"/>
              </w:rPr>
              <w:t>Pola obowiązkowe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Tożsamość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decision_id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decision_object_id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decision_scope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timestamp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trigger_event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Wersje</w:t>
            </w:r>
          </w:p>
        </w:tc>
        <w:tc>
          <w:tcPr>
            <w:tcW w:w="704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constitution_version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matrix_version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policy_version_used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engine_version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Fakty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fact_sources[]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fact_quality[]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critical_fact_ids[]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facts_snapshot_hash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Ocena</w:t>
            </w:r>
          </w:p>
        </w:tc>
        <w:tc>
          <w:tcPr>
            <w:tcW w:w="704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osie A–F z applicability i assessment status; dane pierwotne B; health/recovery osobno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Wartości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evaluated_value_leve</w:t>
            </w:r>
            <w:r>
              <w:rPr>
                <w:rFonts w:ascii="Courier New" w:hAnsi="Courier New"/>
                <w:color w:val="1B2A4A"/>
                <w:sz w:val="15"/>
              </w:rPr>
              <w:t>l</w:t>
            </w:r>
            <w:r>
              <w:rPr>
                <w:color w:val="222222"/>
                <w:sz w:val="16"/>
              </w:rPr>
              <w:t>, chroniona szkoda i odrzucone warianty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Władza</w:t>
            </w:r>
          </w:p>
        </w:tc>
        <w:tc>
          <w:tcPr>
            <w:tcW w:w="704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required_authority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actor_role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authority_basis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Sprzeciw/zgoda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objections[]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consent_requirement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consent_status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Wykonanie</w:t>
            </w:r>
          </w:p>
        </w:tc>
        <w:tc>
          <w:tcPr>
            <w:tcW w:w="704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disposition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allowed_actions[]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blocked_actions[]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reason_codes[]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Override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override_status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override_scope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owner_statement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expires_at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Komunikacja</w:t>
            </w:r>
          </w:p>
        </w:tc>
        <w:tc>
          <w:tcPr>
            <w:tcW w:w="7040" w:type="dxa"/>
            <w:shd w:val="clear" w:color="auto" w:fill="F6F7F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rFonts w:ascii="Courier New" w:hAnsi="Courier New"/>
                <w:color w:val="1B2A4A"/>
                <w:sz w:val="15"/>
              </w:rPr>
              <w:t>draft_text_hash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claim_assessments[]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voice_validation</w:t>
            </w:r>
            <w:r>
              <w:rPr>
                <w:color w:val="222222"/>
                <w:sz w:val="16"/>
              </w:rPr>
              <w:t xml:space="preserve">, </w:t>
            </w:r>
            <w:r>
              <w:rPr>
                <w:rFonts w:ascii="Courier New" w:hAnsi="Courier New"/>
                <w:color w:val="1B2A4A"/>
                <w:sz w:val="15"/>
              </w:rPr>
              <w:t>actual_claims[]</w:t>
            </w:r>
          </w:p>
        </w:tc>
      </w:tr>
      <w:tr w:rsidR="00C05A55">
        <w:tblPrEx>
          <w:tblCellMar>
            <w:top w:w="0" w:type="dxa"/>
            <w:bottom w:w="0" w:type="dxa"/>
          </w:tblCellMar>
        </w:tblPrEx>
        <w:tc>
          <w:tcPr>
            <w:tcW w:w="259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>Wynik</w:t>
            </w:r>
          </w:p>
        </w:tc>
        <w:tc>
          <w:tcPr>
            <w:tcW w:w="70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C05A55" w:rsidRDefault="005404CC">
            <w:r>
              <w:rPr>
                <w:color w:val="222222"/>
                <w:sz w:val="16"/>
              </w:rPr>
              <w:t xml:space="preserve">osobne </w:t>
            </w:r>
            <w:r>
              <w:rPr>
                <w:rFonts w:ascii="Courier New" w:hAnsi="Courier New"/>
                <w:color w:val="1B2A4A"/>
                <w:sz w:val="15"/>
              </w:rPr>
              <w:t>outcome_event_ids[]</w:t>
            </w:r>
            <w:r>
              <w:rPr>
                <w:color w:val="222222"/>
                <w:sz w:val="16"/>
              </w:rPr>
              <w:t>; nigdy retroaktywna edycja oceny</w:t>
            </w:r>
          </w:p>
        </w:tc>
      </w:tr>
    </w:tbl>
    <w:p w:rsidR="00C05A55" w:rsidRDefault="00C05A55">
      <w:pPr>
        <w:spacing w:after="20"/>
      </w:pP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Schemat JSON znajduje się w </w:t>
      </w:r>
      <w:r>
        <w:rPr>
          <w:rFonts w:ascii="Courier New" w:hAnsi="Courier New"/>
          <w:color w:val="1B2A4A"/>
          <w:sz w:val="18"/>
        </w:rPr>
        <w:t>schemas/decision-trail.schema.json</w:t>
      </w:r>
      <w:r>
        <w:rPr>
          <w:color w:val="222222"/>
        </w:rPr>
        <w:t>.</w:t>
      </w:r>
    </w:p>
    <w:p w:rsidR="00C05A55" w:rsidRDefault="005404CC">
      <w:pPr>
        <w:pStyle w:val="Nagwek2"/>
        <w:keepNext/>
        <w:spacing w:before="160" w:after="60"/>
      </w:pPr>
      <w:r>
        <w:t>3. Fakty i jakość informacji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Każdy fakt ma stabilne </w:t>
      </w:r>
      <w:r>
        <w:rPr>
          <w:rFonts w:ascii="Courier New" w:hAnsi="Courier New"/>
          <w:color w:val="1B2A4A"/>
          <w:sz w:val="18"/>
        </w:rPr>
        <w:t>fact_id</w:t>
      </w:r>
      <w:r>
        <w:rPr>
          <w:color w:val="222222"/>
        </w:rPr>
        <w:t>, treść znormalizowaną, źródło, czas pozyskania, ważność i F. Konflikt zachowuje wszystkie źródła; nie wolno usunąć przegrywającego twierdzenia z historii.</w:t>
      </w:r>
    </w:p>
    <w:p w:rsidR="00C05A55" w:rsidRDefault="005404CC">
      <w:pPr>
        <w:spacing w:before="40" w:after="80" w:line="276" w:lineRule="auto"/>
      </w:pPr>
      <w:r>
        <w:rPr>
          <w:rFonts w:ascii="Courier New" w:hAnsi="Courier New"/>
          <w:color w:val="1B2A4A"/>
          <w:sz w:val="18"/>
        </w:rPr>
        <w:lastRenderedPageBreak/>
        <w:t>fact_scope</w:t>
      </w:r>
      <w:r>
        <w:rPr>
          <w:color w:val="222222"/>
        </w:rPr>
        <w:t xml:space="preserve"> określa, których obiektów i działań dotyczy informacja. </w:t>
      </w:r>
      <w:r>
        <w:rPr>
          <w:rFonts w:ascii="Courier New" w:hAnsi="Courier New"/>
          <w:color w:val="1B2A4A"/>
          <w:sz w:val="18"/>
        </w:rPr>
        <w:t>dependent_actions[]</w:t>
      </w:r>
      <w:r>
        <w:rPr>
          <w:color w:val="222222"/>
        </w:rPr>
        <w:t xml:space="preserve"> jest zamkniętą listą. Brak GPS jednej ekipy nie blokuje niezależnego zabezpieczenia DOM, jeśli położenie nie jest przesłanką tego działania.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Brak P-* jest zapisywany jak</w:t>
      </w:r>
      <w:r>
        <w:rPr>
          <w:color w:val="222222"/>
        </w:rPr>
        <w:t xml:space="preserve">o </w:t>
      </w:r>
      <w:r>
        <w:rPr>
          <w:rFonts w:ascii="Courier New" w:hAnsi="Courier New"/>
          <w:color w:val="1B2A4A"/>
          <w:sz w:val="18"/>
        </w:rPr>
        <w:t>POLICY_PARAMETER_MISSING</w:t>
      </w:r>
      <w:r>
        <w:rPr>
          <w:color w:val="222222"/>
        </w:rPr>
        <w:t>. Nie usuwa znanych faktów jakościowych, np. że Piotr jest jedynym posiadaczem uprawnień albo że ekipa B jest jedyną rezerwą.</w:t>
      </w:r>
    </w:p>
    <w:p w:rsidR="00C05A55" w:rsidRDefault="005404CC">
      <w:pPr>
        <w:pStyle w:val="Nagwek2"/>
        <w:keepNext/>
        <w:spacing w:before="160" w:after="60"/>
      </w:pPr>
      <w:r>
        <w:t>4. Decyzja OWNER i override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Karta decyzji OWNER musi pokazać: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rekomendację i co najmniej jeden legalny w</w:t>
      </w:r>
      <w:r>
        <w:rPr>
          <w:color w:val="222222"/>
        </w:rPr>
        <w:t>ariant alternatywny;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fakty potwierdzone, braki i konflikty;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wykonalność techniczną;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relację do polityki;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twarde granice, których nie można wybrać;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koszt/ryzyko każdego legalnego wariantu;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dokładny zakres i czas obowiązywania override'u.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System nie prezentu</w:t>
      </w:r>
      <w:r>
        <w:rPr>
          <w:color w:val="222222"/>
        </w:rPr>
        <w:t xml:space="preserve">je przycisku zatwierdzenia dla </w:t>
      </w:r>
      <w:r>
        <w:rPr>
          <w:rFonts w:ascii="Courier New" w:hAnsi="Courier New"/>
          <w:color w:val="1B2A4A"/>
          <w:sz w:val="18"/>
        </w:rPr>
        <w:t>HARD_BLOCK</w:t>
      </w:r>
      <w:r>
        <w:rPr>
          <w:color w:val="222222"/>
        </w:rPr>
        <w:t xml:space="preserve">, braku wymaganej zgody ani </w:t>
      </w:r>
      <w:r>
        <w:rPr>
          <w:rFonts w:ascii="Courier New" w:hAnsi="Courier New"/>
          <w:color w:val="1B2A4A"/>
          <w:sz w:val="18"/>
        </w:rPr>
        <w:t>INFEASIBLE</w:t>
      </w:r>
      <w:r>
        <w:rPr>
          <w:color w:val="222222"/>
        </w:rPr>
        <w:t xml:space="preserve">. Jeżeli OWNER działa poza systemem, zdarzenie zapisuje się jako </w:t>
      </w:r>
      <w:r>
        <w:rPr>
          <w:rFonts w:ascii="Courier New" w:hAnsi="Courier New"/>
          <w:color w:val="1B2A4A"/>
          <w:sz w:val="18"/>
        </w:rPr>
        <w:t>EXTERNAL_OWNER_ACTION</w:t>
      </w:r>
      <w:r>
        <w:rPr>
          <w:color w:val="222222"/>
        </w:rPr>
        <w:t>, bez fałszywej autoryzacji systemowej.</w:t>
      </w:r>
    </w:p>
    <w:p w:rsidR="00C05A55" w:rsidRDefault="005404CC">
      <w:pPr>
        <w:pStyle w:val="Nagwek2"/>
        <w:keepNext/>
        <w:spacing w:before="160" w:after="60"/>
      </w:pPr>
      <w:r>
        <w:t>5. Sprzeciw i ochrona człowieka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Sprzeciw zapisuje </w:t>
      </w:r>
      <w:r>
        <w:rPr>
          <w:color w:val="222222"/>
        </w:rPr>
        <w:t>się jako treść, typ, źródło, czas, zakres i skutek bramki. System nie tworzy profilu „trudnego pracownika”.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W przypadku zgody wymaganej dla działania należy zachować: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czego dokładnie dotyczyła prośba;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informacje przedstawione osobie;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możliwość odmowy i ewe</w:t>
      </w:r>
      <w:r>
        <w:rPr>
          <w:color w:val="222222"/>
        </w:rPr>
        <w:t>ntualną rekompensatę;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odpowiedź;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brak odwetu jako cechę procesu, nie obietnicę modelu.</w:t>
      </w:r>
    </w:p>
    <w:p w:rsidR="00C05A55" w:rsidRDefault="005404CC">
      <w:pPr>
        <w:spacing w:before="40" w:after="80" w:line="276" w:lineRule="auto"/>
      </w:pPr>
      <w:r>
        <w:rPr>
          <w:rFonts w:ascii="Courier New" w:hAnsi="Courier New"/>
          <w:color w:val="1B2A4A"/>
          <w:sz w:val="18"/>
        </w:rPr>
        <w:t>PRESSURED</w:t>
      </w:r>
      <w:r>
        <w:rPr>
          <w:color w:val="222222"/>
        </w:rPr>
        <w:t xml:space="preserve">, cisza lub zgoda oparta na fałszywym twierdzeniu nie spełniają bramki </w:t>
      </w:r>
      <w:r>
        <w:rPr>
          <w:rFonts w:ascii="Courier New" w:hAnsi="Courier New"/>
          <w:color w:val="1B2A4A"/>
          <w:sz w:val="18"/>
        </w:rPr>
        <w:t>FREELY_GIVEN</w:t>
      </w:r>
      <w:r>
        <w:rPr>
          <w:color w:val="222222"/>
        </w:rPr>
        <w:t>.</w:t>
      </w:r>
    </w:p>
    <w:p w:rsidR="00C05A55" w:rsidRDefault="005404CC">
      <w:pPr>
        <w:pStyle w:val="Nagwek2"/>
        <w:keepNext/>
        <w:spacing w:before="160" w:after="60"/>
      </w:pPr>
      <w:r>
        <w:t>6. Komunikacja i NO_DECEPTION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System przechowuje oddzielnie: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DRAFT_TEXT</w:t>
      </w:r>
      <w:r>
        <w:rPr>
          <w:color w:val="222222"/>
        </w:rPr>
        <w:t xml:space="preserve"> — t</w:t>
      </w:r>
      <w:r>
        <w:rPr>
          <w:color w:val="222222"/>
        </w:rPr>
        <w:t>reść modelu przed walidacją;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APPROVED_TEXT</w:t>
      </w:r>
      <w:r>
        <w:rPr>
          <w:color w:val="222222"/>
        </w:rPr>
        <w:t xml:space="preserve"> — treść po walidacji deterministycznej i wymaganej akceptacji;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SENT_MESSAGE</w:t>
      </w:r>
      <w:r>
        <w:rPr>
          <w:color w:val="222222"/>
        </w:rPr>
        <w:t xml:space="preserve"> — komunikat faktycznie wysłany przez system;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ACTUAL_CLAIM</w:t>
      </w:r>
      <w:r>
        <w:rPr>
          <w:color w:val="222222"/>
        </w:rPr>
        <w:t xml:space="preserve"> — wiarygodnie ustalona wypowiedź człowieka poza systemem.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Walidator VOICE </w:t>
      </w:r>
      <w:r>
        <w:rPr>
          <w:color w:val="222222"/>
        </w:rPr>
        <w:t>sprawdza każdą materialną tezę i odrzuca wysyłkę, gdy: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twierdzenie jest fałszywe;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język jest silniejszy niż dowód;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brakuje warunku istotnego dla odbiorcy;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komunikat fałszuje zgodę, rolę lub uprawnienie;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przemilczenie zmienia rozsądne rozumienie terminu, ce</w:t>
      </w:r>
      <w:r>
        <w:rPr>
          <w:color w:val="222222"/>
        </w:rPr>
        <w:t>ny, zakresu, jakości albo bezpieczeństwa.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Odrzucenie zwraca </w:t>
      </w:r>
      <w:r>
        <w:rPr>
          <w:rFonts w:ascii="Courier New" w:hAnsi="Courier New"/>
          <w:color w:val="1B2A4A"/>
          <w:sz w:val="18"/>
        </w:rPr>
        <w:t>reason_codes[]</w:t>
      </w:r>
      <w:r>
        <w:rPr>
          <w:color w:val="222222"/>
        </w:rPr>
        <w:t xml:space="preserve"> i uczciwą alternatywę, np. </w:t>
      </w:r>
      <w:r>
        <w:rPr>
          <w:rFonts w:ascii="Courier New" w:hAnsi="Courier New"/>
          <w:color w:val="1B2A4A"/>
          <w:sz w:val="18"/>
        </w:rPr>
        <w:t>WINDOW</w:t>
      </w:r>
      <w:r>
        <w:rPr>
          <w:color w:val="222222"/>
        </w:rPr>
        <w:t>, renegocjację, prośbę o dane albo odmowę obietnicy.</w:t>
      </w:r>
    </w:p>
    <w:p w:rsidR="00C05A55" w:rsidRDefault="005404CC">
      <w:pPr>
        <w:pStyle w:val="Nagwek2"/>
        <w:keepNext/>
        <w:spacing w:before="160" w:after="60"/>
      </w:pPr>
      <w:r>
        <w:t>7. Retencja, decay i prywatność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Retencja i </w:t>
      </w:r>
      <w:r>
        <w:rPr>
          <w:rFonts w:ascii="Courier New" w:hAnsi="Courier New"/>
          <w:color w:val="1B2A4A"/>
          <w:sz w:val="18"/>
        </w:rPr>
        <w:t>MEMORY_DECAY</w:t>
      </w:r>
      <w:r>
        <w:rPr>
          <w:color w:val="222222"/>
        </w:rPr>
        <w:t xml:space="preserve"> są różnymi mechanizmami: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retencja okreś</w:t>
      </w:r>
      <w:r>
        <w:rPr>
          <w:color w:val="222222"/>
        </w:rPr>
        <w:t>la, jak długo dowód i ślad są przechowywane;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decay określa, jak bardzo historia wpływa na przyszłe planowanie.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lastRenderedPageBreak/>
        <w:t>Usunięcie danych osobowych z planera nie może usuwać wymaganego śladu audytowego; zamiast tego stosuje się minimalizację, pseudonimizację i kontr</w:t>
      </w:r>
      <w:r>
        <w:rPr>
          <w:color w:val="222222"/>
        </w:rPr>
        <w:t>olę dostępu. Konkretne okresy retencji, podstawa prawna, DPIA oraz kwalifikacja obowiązków AI Act są osobną decyzją przed produkcją.</w:t>
      </w:r>
    </w:p>
    <w:p w:rsidR="00C05A55" w:rsidRDefault="005404CC">
      <w:pPr>
        <w:pStyle w:val="Nagwek2"/>
        <w:keepNext/>
        <w:spacing w:before="160" w:after="60"/>
      </w:pPr>
      <w:r>
        <w:t>8. Replay i odporność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Offline replay otrzymuje dokładny snapshot faktów, konfigurację i wersje silnika. Musi odtworzyć ten </w:t>
      </w:r>
      <w:r>
        <w:rPr>
          <w:color w:val="222222"/>
        </w:rPr>
        <w:t>sam wynik deterministyczny bez modelu językowego.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>Replay nie może: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pobierać nowszych faktów;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używać późniejszych outcome'ów jako wiedzy z chwili decyzji;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uruchamiać narzędzi zmieniających stan;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generować nowej decyzji OWNER.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Kill switch przełącza runtime na </w:t>
      </w:r>
      <w:r>
        <w:rPr>
          <w:rFonts w:ascii="Courier New" w:hAnsi="Courier New"/>
          <w:color w:val="1B2A4A"/>
          <w:sz w:val="18"/>
        </w:rPr>
        <w:t>HALT</w:t>
      </w:r>
      <w:r>
        <w:rPr>
          <w:color w:val="222222"/>
        </w:rPr>
        <w:t xml:space="preserve"> dla działań zmieniających stan. Odczyt śladu i bezpieczny eksport pozostają dostępne.</w:t>
      </w:r>
    </w:p>
    <w:p w:rsidR="00C05A55" w:rsidRDefault="005404CC">
      <w:pPr>
        <w:pStyle w:val="Nagwek2"/>
        <w:keepNext/>
        <w:spacing w:before="160" w:after="60"/>
      </w:pPr>
      <w:r>
        <w:t>9. Minimalne testy blokujące</w:t>
      </w:r>
    </w:p>
    <w:p w:rsidR="00C05A55" w:rsidRDefault="005404CC">
      <w:pPr>
        <w:pStyle w:val="Nagwek3"/>
        <w:keepNext/>
        <w:spacing w:before="160" w:after="60"/>
      </w:pPr>
      <w:r>
        <w:t>Semantyka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wszystkie testy z rozdziału 10 macierzy;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override nie zmienia snapshotu faktów;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rFonts w:ascii="Courier New" w:hAnsi="Courier New"/>
          <w:color w:val="1B2A4A"/>
          <w:sz w:val="18"/>
        </w:rPr>
        <w:t>FORCED</w:t>
      </w:r>
      <w:r>
        <w:rPr>
          <w:color w:val="222222"/>
        </w:rPr>
        <w:t xml:space="preserve"> nie powstaje przy twardej granicy;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odmowa recovery nie zmienia zdrowia;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actual claim nie staje się approved text;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brak danych blokuje tylko zależny zakres.</w:t>
      </w:r>
    </w:p>
    <w:p w:rsidR="00C05A55" w:rsidRDefault="005404CC">
      <w:pPr>
        <w:pStyle w:val="Nagwek3"/>
        <w:keepNext/>
        <w:spacing w:before="160" w:after="60"/>
      </w:pPr>
      <w:r>
        <w:t>Szkody i ludzie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system nie obciąża stale tej samej osoby dlatego, że historycznie zgadzała się na e</w:t>
      </w:r>
      <w:r>
        <w:rPr>
          <w:color w:val="222222"/>
        </w:rPr>
        <w:t>lastyczność;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odmowa nadgodzin nie tworzy flagi ryzyka pracownika;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korelacja reworku nie tworzy etykiety osobowej bez kontroli przyczyn;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rozkład obciążenia jest audytowalny dla osób i ról;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sprzeciw tej samej treści ma ten sam skutek niezależnie od stanowisk</w:t>
      </w:r>
      <w:r>
        <w:rPr>
          <w:color w:val="222222"/>
        </w:rPr>
        <w:t>a zgłaszającego.</w:t>
      </w:r>
    </w:p>
    <w:p w:rsidR="00C05A55" w:rsidRDefault="005404CC">
      <w:pPr>
        <w:pStyle w:val="Nagwek3"/>
        <w:keepNext/>
        <w:spacing w:before="160" w:after="60"/>
      </w:pPr>
      <w:r>
        <w:t>Promise Guard i komunikacja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fałszywe alarmy Guard są mierzone osobno od prawdziwych blokad;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pewność nie przechodzi przy B≠</w:t>
      </w:r>
      <w:r>
        <w:rPr>
          <w:rFonts w:ascii="Courier New" w:hAnsi="Courier New"/>
          <w:color w:val="1B2A4A"/>
          <w:sz w:val="18"/>
        </w:rPr>
        <w:t>SAFE</w:t>
      </w:r>
      <w:r>
        <w:rPr>
          <w:color w:val="222222"/>
        </w:rPr>
        <w:t xml:space="preserve"> lub F≠</w:t>
      </w:r>
      <w:r>
        <w:rPr>
          <w:rFonts w:ascii="Courier New" w:hAnsi="Courier New"/>
          <w:color w:val="1B2A4A"/>
          <w:sz w:val="18"/>
        </w:rPr>
        <w:t>SUFFICIENT</w:t>
      </w:r>
      <w:r>
        <w:rPr>
          <w:color w:val="222222"/>
        </w:rPr>
        <w:t>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 xml:space="preserve">klient nie otrzymuje cichej zmiany </w:t>
      </w:r>
      <w:r>
        <w:rPr>
          <w:rFonts w:ascii="Courier New" w:hAnsi="Courier New"/>
          <w:color w:val="1B2A4A"/>
          <w:sz w:val="18"/>
        </w:rPr>
        <w:t>PROMISE</w:t>
      </w:r>
      <w:r>
        <w:rPr>
          <w:color w:val="222222"/>
        </w:rPr>
        <w:t xml:space="preserve"> na </w:t>
      </w:r>
      <w:r>
        <w:rPr>
          <w:rFonts w:ascii="Courier New" w:hAnsi="Courier New"/>
          <w:color w:val="1B2A4A"/>
          <w:sz w:val="18"/>
        </w:rPr>
        <w:t>WINDOW</w:t>
      </w:r>
      <w:r>
        <w:rPr>
          <w:color w:val="222222"/>
        </w:rPr>
        <w:t>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milczenie klienta nie zamyka reklamacji;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agent odmawia kłamstwa, lecz proponuje legalną alternatywę.</w:t>
      </w:r>
    </w:p>
    <w:p w:rsidR="00C05A55" w:rsidRDefault="005404CC">
      <w:pPr>
        <w:pStyle w:val="Nagwek3"/>
        <w:keepNext/>
        <w:spacing w:before="160" w:after="60"/>
      </w:pPr>
      <w:r>
        <w:t>Awaria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przerwany zapis nie tworzy częściowej decyzji;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replay wykrywa niezgodność hashy;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utrata modelu językowego nie zmienia stanu deterministycznego;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kill switch blokuje wykonanie i zachowuje śl</w:t>
      </w:r>
      <w:r>
        <w:rPr>
          <w:color w:val="222222"/>
        </w:rPr>
        <w:t>ad;</w:t>
      </w:r>
    </w:p>
    <w:p w:rsidR="00C05A55" w:rsidRDefault="005404CC">
      <w:pPr>
        <w:pStyle w:val="Akapitzlist"/>
        <w:numPr>
          <w:ilvl w:val="0"/>
          <w:numId w:val="2"/>
        </w:numPr>
        <w:spacing w:before="20" w:after="40" w:line="259" w:lineRule="auto"/>
      </w:pPr>
      <w:r>
        <w:rPr>
          <w:color w:val="222222"/>
        </w:rPr>
        <w:t>brak policy version kończy się fail-safe.</w:t>
      </w:r>
    </w:p>
    <w:p w:rsidR="00C05A55" w:rsidRDefault="005404CC">
      <w:pPr>
        <w:pStyle w:val="Nagwek2"/>
        <w:keepNext/>
        <w:spacing w:before="160" w:after="60"/>
      </w:pPr>
      <w:r>
        <w:t>10. Kryterium wyjścia poza ASSIST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Przejście do </w:t>
      </w:r>
      <w:r>
        <w:rPr>
          <w:rFonts w:ascii="Courier New" w:hAnsi="Courier New"/>
          <w:color w:val="1B2A4A"/>
          <w:sz w:val="18"/>
        </w:rPr>
        <w:t>CONSTRAINED_AUTO</w:t>
      </w:r>
      <w:r>
        <w:rPr>
          <w:color w:val="222222"/>
        </w:rPr>
        <w:t xml:space="preserve"> wymaga łącznie: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>zielonych testów semantycznych i awaryjnych;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>zatwierdzonego Company Policy Profile;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>wersjonowanego schematu śladu i migracji;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>kontroli dostępu oraz zasad retencji;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>przetestowanego kill switcha i offline replay;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>przeglądu szkód, nierównego obciążania ludzi i fałszywych alarmów;</w:t>
      </w:r>
    </w:p>
    <w:p w:rsidR="00C05A55" w:rsidRDefault="005404CC">
      <w:pPr>
        <w:pStyle w:val="Akapitzlist"/>
        <w:numPr>
          <w:ilvl w:val="0"/>
          <w:numId w:val="4"/>
        </w:numPr>
        <w:spacing w:before="20" w:after="40" w:line="259" w:lineRule="auto"/>
      </w:pPr>
      <w:r>
        <w:rPr>
          <w:color w:val="222222"/>
        </w:rPr>
        <w:t xml:space="preserve">jawnej decyzji OWNER o zakresie </w:t>
      </w:r>
      <w:r>
        <w:rPr>
          <w:rFonts w:ascii="Courier New" w:hAnsi="Courier New"/>
          <w:color w:val="1B2A4A"/>
          <w:sz w:val="18"/>
        </w:rPr>
        <w:t>CONSTRAINED_AUTO</w:t>
      </w:r>
      <w:r>
        <w:rPr>
          <w:color w:val="222222"/>
        </w:rPr>
        <w:t>.</w:t>
      </w:r>
    </w:p>
    <w:p w:rsidR="00C05A55" w:rsidRDefault="005404CC">
      <w:pPr>
        <w:spacing w:before="40" w:after="80" w:line="276" w:lineRule="auto"/>
      </w:pPr>
      <w:r>
        <w:rPr>
          <w:color w:val="222222"/>
        </w:rPr>
        <w:t xml:space="preserve">Brak jednego warunku utrzymuje system w </w:t>
      </w:r>
      <w:r>
        <w:rPr>
          <w:rFonts w:ascii="Courier New" w:hAnsi="Courier New"/>
          <w:color w:val="1B2A4A"/>
          <w:sz w:val="18"/>
        </w:rPr>
        <w:t>ASSIST</w:t>
      </w:r>
      <w:r>
        <w:rPr>
          <w:color w:val="222222"/>
        </w:rPr>
        <w:t>; nie tw</w:t>
      </w:r>
      <w:r>
        <w:rPr>
          <w:color w:val="222222"/>
        </w:rPr>
        <w:t>orzy ukrytego trybu AUTO.</w:t>
      </w:r>
    </w:p>
    <w:sectPr w:rsidR="00C05A55" w:rsidSect="005404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5404CC">
      <w:r>
        <w:separator/>
      </w:r>
    </w:p>
  </w:endnote>
  <w:endnote w:type="continuationSeparator" w:id="0">
    <w:p w:rsidR="00000000" w:rsidRDefault="00540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4CC" w:rsidRDefault="005404CC">
    <w:pPr>
      <w:pBdr>
        <w:top w:val="single" w:sz="6" w:space="6" w:color="C5C1B8"/>
      </w:pBdr>
      <w:spacing w:before="60"/>
    </w:pPr>
    <w:r>
      <w:rPr>
        <w:color w:val="666666"/>
        <w:sz w:val="16"/>
        <w:szCs w:val="16"/>
      </w:rPr>
      <w:t xml:space="preserve">WERKcrew  ·  poufne  ·  strona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2026-09-02</w:t>
    </w:r>
  </w:p>
  <w:p w:rsidR="005404CC" w:rsidRDefault="005404CC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A55" w:rsidRDefault="005404CC">
    <w:pPr>
      <w:pBdr>
        <w:top w:val="single" w:sz="6" w:space="6" w:color="C5C1B8"/>
      </w:pBdr>
      <w:spacing w:before="60"/>
    </w:pPr>
    <w:r>
      <w:rPr>
        <w:color w:val="666666"/>
        <w:sz w:val="16"/>
        <w:szCs w:val="16"/>
      </w:rPr>
      <w:t xml:space="preserve">WERKcrew  ·  poufne  ·  strona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·  2026-09-02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4CC" w:rsidRDefault="005404CC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5404CC">
      <w:r>
        <w:separator/>
      </w:r>
    </w:p>
  </w:footnote>
  <w:footnote w:type="continuationSeparator" w:id="0">
    <w:p w:rsidR="00000000" w:rsidRDefault="005404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4CC" w:rsidRDefault="005404CC">
    <w:pPr>
      <w:pBdr>
        <w:bottom w:val="single" w:sz="8" w:space="6" w:color="1B2A4A"/>
      </w:pBdr>
      <w:spacing w:after="80"/>
    </w:pPr>
    <w:r>
      <w:rPr>
        <w:b/>
        <w:color w:val="1B2A4A"/>
        <w:sz w:val="16"/>
      </w:rPr>
      <w:t>WERKcrew Decision Assurance Pack v0.1    USTALONE    ślad · replay · testy</w:t>
    </w:r>
  </w:p>
  <w:p w:rsidR="005404CC" w:rsidRDefault="005404CC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05A55" w:rsidRDefault="005404CC">
    <w:pPr>
      <w:pBdr>
        <w:bottom w:val="single" w:sz="8" w:space="6" w:color="1B2A4A"/>
      </w:pBdr>
      <w:spacing w:after="80"/>
    </w:pPr>
    <w:r>
      <w:rPr>
        <w:b/>
        <w:color w:val="1B2A4A"/>
        <w:sz w:val="16"/>
      </w:rPr>
      <w:t>WERKcrew Decision Assurance Pack v0.1    USTALONE    ślad · replay · testy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04CC" w:rsidRDefault="005404CC">
    <w:pPr>
      <w:pStyle w:val="Nagwek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4E622D"/>
    <w:multiLevelType w:val="hybridMultilevel"/>
    <w:tmpl w:val="5E8C7CF0"/>
    <w:lvl w:ilvl="0" w:tplc="9F1C78AE">
      <w:start w:val="1"/>
      <w:numFmt w:val="decimal"/>
      <w:lvlText w:val="%1."/>
      <w:lvlJc w:val="left"/>
      <w:pPr>
        <w:ind w:left="420" w:hanging="220"/>
      </w:pPr>
    </w:lvl>
    <w:lvl w:ilvl="1" w:tplc="48D8EC4C">
      <w:numFmt w:val="decimal"/>
      <w:lvlText w:val=""/>
      <w:lvlJc w:val="left"/>
    </w:lvl>
    <w:lvl w:ilvl="2" w:tplc="DDD02CC0">
      <w:numFmt w:val="decimal"/>
      <w:lvlText w:val=""/>
      <w:lvlJc w:val="left"/>
    </w:lvl>
    <w:lvl w:ilvl="3" w:tplc="4458347E">
      <w:numFmt w:val="decimal"/>
      <w:lvlText w:val=""/>
      <w:lvlJc w:val="left"/>
    </w:lvl>
    <w:lvl w:ilvl="4" w:tplc="12C21826">
      <w:numFmt w:val="decimal"/>
      <w:lvlText w:val=""/>
      <w:lvlJc w:val="left"/>
    </w:lvl>
    <w:lvl w:ilvl="5" w:tplc="E1B0A144">
      <w:numFmt w:val="decimal"/>
      <w:lvlText w:val=""/>
      <w:lvlJc w:val="left"/>
    </w:lvl>
    <w:lvl w:ilvl="6" w:tplc="2E68DB84">
      <w:numFmt w:val="decimal"/>
      <w:lvlText w:val=""/>
      <w:lvlJc w:val="left"/>
    </w:lvl>
    <w:lvl w:ilvl="7" w:tplc="1876C3E6">
      <w:numFmt w:val="decimal"/>
      <w:lvlText w:val=""/>
      <w:lvlJc w:val="left"/>
    </w:lvl>
    <w:lvl w:ilvl="8" w:tplc="FDA079A6">
      <w:numFmt w:val="decimal"/>
      <w:lvlText w:val=""/>
      <w:lvlJc w:val="left"/>
    </w:lvl>
  </w:abstractNum>
  <w:abstractNum w:abstractNumId="1">
    <w:nsid w:val="37E502AA"/>
    <w:multiLevelType w:val="hybridMultilevel"/>
    <w:tmpl w:val="A3C42B3A"/>
    <w:lvl w:ilvl="0" w:tplc="D270A08C">
      <w:start w:val="1"/>
      <w:numFmt w:val="bullet"/>
      <w:lvlText w:val="●"/>
      <w:lvlJc w:val="left"/>
      <w:pPr>
        <w:ind w:left="720" w:hanging="360"/>
      </w:pPr>
    </w:lvl>
    <w:lvl w:ilvl="1" w:tplc="8860581C">
      <w:start w:val="1"/>
      <w:numFmt w:val="bullet"/>
      <w:lvlText w:val="○"/>
      <w:lvlJc w:val="left"/>
      <w:pPr>
        <w:ind w:left="1440" w:hanging="360"/>
      </w:pPr>
    </w:lvl>
    <w:lvl w:ilvl="2" w:tplc="B9DE0B8C">
      <w:start w:val="1"/>
      <w:numFmt w:val="bullet"/>
      <w:lvlText w:val="■"/>
      <w:lvlJc w:val="left"/>
      <w:pPr>
        <w:ind w:left="2160" w:hanging="360"/>
      </w:pPr>
    </w:lvl>
    <w:lvl w:ilvl="3" w:tplc="5CBAAAC6">
      <w:start w:val="1"/>
      <w:numFmt w:val="bullet"/>
      <w:lvlText w:val="●"/>
      <w:lvlJc w:val="left"/>
      <w:pPr>
        <w:ind w:left="2880" w:hanging="360"/>
      </w:pPr>
    </w:lvl>
    <w:lvl w:ilvl="4" w:tplc="02C8F3E0">
      <w:start w:val="1"/>
      <w:numFmt w:val="bullet"/>
      <w:lvlText w:val="○"/>
      <w:lvlJc w:val="left"/>
      <w:pPr>
        <w:ind w:left="3600" w:hanging="360"/>
      </w:pPr>
    </w:lvl>
    <w:lvl w:ilvl="5" w:tplc="9412175E">
      <w:start w:val="1"/>
      <w:numFmt w:val="bullet"/>
      <w:lvlText w:val="■"/>
      <w:lvlJc w:val="left"/>
      <w:pPr>
        <w:ind w:left="4320" w:hanging="360"/>
      </w:pPr>
    </w:lvl>
    <w:lvl w:ilvl="6" w:tplc="DFC6333A">
      <w:start w:val="1"/>
      <w:numFmt w:val="bullet"/>
      <w:lvlText w:val="●"/>
      <w:lvlJc w:val="left"/>
      <w:pPr>
        <w:ind w:left="5040" w:hanging="360"/>
      </w:pPr>
    </w:lvl>
    <w:lvl w:ilvl="7" w:tplc="8D10092A">
      <w:start w:val="1"/>
      <w:numFmt w:val="bullet"/>
      <w:lvlText w:val="●"/>
      <w:lvlJc w:val="left"/>
      <w:pPr>
        <w:ind w:left="5760" w:hanging="360"/>
      </w:pPr>
    </w:lvl>
    <w:lvl w:ilvl="8" w:tplc="F488AE00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58C3674E"/>
    <w:multiLevelType w:val="hybridMultilevel"/>
    <w:tmpl w:val="DADCAAEA"/>
    <w:lvl w:ilvl="0" w:tplc="504E55F4">
      <w:start w:val="1"/>
      <w:numFmt w:val="bullet"/>
      <w:lvlText w:val="•"/>
      <w:lvlJc w:val="left"/>
      <w:pPr>
        <w:ind w:left="420" w:hanging="220"/>
      </w:pPr>
    </w:lvl>
    <w:lvl w:ilvl="1" w:tplc="053E940A">
      <w:start w:val="1"/>
      <w:numFmt w:val="bullet"/>
      <w:lvlText w:val="–"/>
      <w:lvlJc w:val="left"/>
      <w:pPr>
        <w:ind w:left="720" w:hanging="220"/>
      </w:pPr>
    </w:lvl>
    <w:lvl w:ilvl="2" w:tplc="BF4C6EC4">
      <w:numFmt w:val="decimal"/>
      <w:lvlText w:val=""/>
      <w:lvlJc w:val="left"/>
    </w:lvl>
    <w:lvl w:ilvl="3" w:tplc="E19489B0">
      <w:numFmt w:val="decimal"/>
      <w:lvlText w:val=""/>
      <w:lvlJc w:val="left"/>
    </w:lvl>
    <w:lvl w:ilvl="4" w:tplc="B8227A0E">
      <w:numFmt w:val="decimal"/>
      <w:lvlText w:val=""/>
      <w:lvlJc w:val="left"/>
    </w:lvl>
    <w:lvl w:ilvl="5" w:tplc="C93A4918">
      <w:numFmt w:val="decimal"/>
      <w:lvlText w:val=""/>
      <w:lvlJc w:val="left"/>
    </w:lvl>
    <w:lvl w:ilvl="6" w:tplc="6A90AB60">
      <w:numFmt w:val="decimal"/>
      <w:lvlText w:val=""/>
      <w:lvlJc w:val="left"/>
    </w:lvl>
    <w:lvl w:ilvl="7" w:tplc="1FDEF1BC">
      <w:numFmt w:val="decimal"/>
      <w:lvlText w:val=""/>
      <w:lvlJc w:val="left"/>
    </w:lvl>
    <w:lvl w:ilvl="8" w:tplc="4836998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05A55"/>
    <w:rsid w:val="005404CC"/>
    <w:rsid w:val="00C05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360" w:after="160"/>
      <w:outlineLvl w:val="0"/>
    </w:pPr>
    <w:rPr>
      <w:b/>
      <w:bCs/>
      <w:color w:val="1B2A4A"/>
      <w:sz w:val="28"/>
      <w:szCs w:val="28"/>
    </w:rPr>
  </w:style>
  <w:style w:type="paragraph" w:styleId="Nagwek2">
    <w:name w:val="heading 2"/>
    <w:qFormat/>
    <w:pPr>
      <w:spacing w:before="280" w:after="100"/>
      <w:outlineLvl w:val="1"/>
    </w:pPr>
    <w:rPr>
      <w:b/>
      <w:bCs/>
      <w:color w:val="1B2A4A"/>
      <w:sz w:val="24"/>
      <w:szCs w:val="24"/>
    </w:rPr>
  </w:style>
  <w:style w:type="paragraph" w:styleId="Nagwek3">
    <w:name w:val="heading 3"/>
    <w:qFormat/>
    <w:pPr>
      <w:spacing w:before="200" w:after="80"/>
      <w:outlineLvl w:val="2"/>
    </w:pPr>
    <w:rPr>
      <w:b/>
      <w:bCs/>
      <w:color w:val="8A6D3B"/>
      <w:sz w:val="22"/>
      <w:szCs w:val="22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5404C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404CC"/>
  </w:style>
  <w:style w:type="paragraph" w:styleId="Stopka">
    <w:name w:val="footer"/>
    <w:basedOn w:val="Normalny"/>
    <w:link w:val="StopkaZnak"/>
    <w:uiPriority w:val="99"/>
    <w:unhideWhenUsed/>
    <w:rsid w:val="005404C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404C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paragraph" w:styleId="Nagwek1">
    <w:name w:val="heading 1"/>
    <w:qFormat/>
    <w:pPr>
      <w:spacing w:before="360" w:after="160"/>
      <w:outlineLvl w:val="0"/>
    </w:pPr>
    <w:rPr>
      <w:b/>
      <w:bCs/>
      <w:color w:val="1B2A4A"/>
      <w:sz w:val="28"/>
      <w:szCs w:val="28"/>
    </w:rPr>
  </w:style>
  <w:style w:type="paragraph" w:styleId="Nagwek2">
    <w:name w:val="heading 2"/>
    <w:qFormat/>
    <w:pPr>
      <w:spacing w:before="280" w:after="100"/>
      <w:outlineLvl w:val="1"/>
    </w:pPr>
    <w:rPr>
      <w:b/>
      <w:bCs/>
      <w:color w:val="1B2A4A"/>
      <w:sz w:val="24"/>
      <w:szCs w:val="24"/>
    </w:rPr>
  </w:style>
  <w:style w:type="paragraph" w:styleId="Nagwek3">
    <w:name w:val="heading 3"/>
    <w:qFormat/>
    <w:pPr>
      <w:spacing w:before="200" w:after="80"/>
      <w:outlineLvl w:val="2"/>
    </w:pPr>
    <w:rPr>
      <w:b/>
      <w:bCs/>
      <w:color w:val="8A6D3B"/>
      <w:sz w:val="22"/>
      <w:szCs w:val="22"/>
    </w:rPr>
  </w:style>
  <w:style w:type="paragraph" w:styleId="Nagwek4">
    <w:name w:val="heading 4"/>
    <w:qFormat/>
    <w:pPr>
      <w:outlineLvl w:val="3"/>
    </w:pPr>
    <w:rPr>
      <w:i/>
      <w:iCs/>
      <w:color w:val="2E74B5"/>
    </w:rPr>
  </w:style>
  <w:style w:type="paragraph" w:styleId="Nagwek5">
    <w:name w:val="heading 5"/>
    <w:qFormat/>
    <w:pPr>
      <w:outlineLvl w:val="4"/>
    </w:pPr>
    <w:rPr>
      <w:color w:val="2E74B5"/>
    </w:rPr>
  </w:style>
  <w:style w:type="paragraph" w:styleId="Nagwek6">
    <w:name w:val="heading 6"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5404CC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5404CC"/>
  </w:style>
  <w:style w:type="paragraph" w:styleId="Stopka">
    <w:name w:val="footer"/>
    <w:basedOn w:val="Normalny"/>
    <w:link w:val="StopkaZnak"/>
    <w:uiPriority w:val="99"/>
    <w:unhideWhenUsed/>
    <w:rsid w:val="005404CC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540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977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WERKcrew Decision Assurance Pack v0.1</dc:title>
  <dc:subject>WERKcrew Decision Semantics Freeze</dc:subject>
  <dc:creator>Un-named</dc:creator>
  <cp:keywords>WERKcrew, governance, decision semantics</cp:keywords>
  <cp:lastModifiedBy>Toms</cp:lastModifiedBy>
  <cp:revision>2</cp:revision>
  <dcterms:created xsi:type="dcterms:W3CDTF">2026-09-02T07:02:00Z</dcterms:created>
  <dcterms:modified xsi:type="dcterms:W3CDTF">2026-09-02T19:40:00Z</dcterms:modified>
</cp:coreProperties>
</file>