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b/>
          <w:i w:val="0"/>
          <w:color w:val="1A3C5E"/>
          <w:sz w:val="72"/>
        </w:rPr>
        <w:t>PROVIDENCE</w:t>
      </w:r>
    </w:p>
    <w:p>
      <w:pPr>
        <w:spacing w:after="480"/>
        <w:jc w:val="center"/>
      </w:pPr>
      <w:r>
        <w:rPr>
          <w:b w:val="0"/>
          <w:i/>
          <w:color w:val="5A5A5A"/>
          <w:sz w:val="32"/>
        </w:rPr>
        <w:t>An AI-Native Autonomous Hedge Fund</w:t>
      </w:r>
    </w:p>
    <w:p>
      <w:pPr>
        <w:spacing w:after="80"/>
        <w:jc w:val="center"/>
      </w:pPr>
      <w:r>
        <w:rPr>
          <w:b w:val="0"/>
          <w:i w:val="0"/>
          <w:color w:val="888888"/>
          <w:sz w:val="24"/>
        </w:rPr>
        <w:t>Technical Whitepaper v1.0</w:t>
      </w:r>
    </w:p>
    <w:p>
      <w:pPr>
        <w:spacing w:after="960"/>
        <w:jc w:val="center"/>
      </w:pPr>
      <w:r>
        <w:rPr>
          <w:b w:val="0"/>
          <w:i w:val="0"/>
          <w:color w:val="888888"/>
          <w:sz w:val="24"/>
        </w:rPr>
        <w:t>March 2026</w:t>
      </w:r>
    </w:p>
    <w:p>
      <w:pPr>
        <w:jc w:val="center"/>
      </w:pPr>
      <w:r>
        <w:rPr>
          <w:color w:val="CCCCCC"/>
        </w:rPr>
        <w:t>____________________________________________________________</w:t>
      </w:r>
    </w:p>
    <w:p>
      <w:pPr>
        <w:spacing w:after="80"/>
        <w:jc w:val="center"/>
      </w:pPr>
      <w:r>
        <w:rPr>
          <w:b/>
          <w:i w:val="0"/>
          <w:color w:val="AA3333"/>
          <w:sz w:val="20"/>
        </w:rPr>
        <w:t>CONFIDENTIAL</w:t>
      </w:r>
    </w:p>
    <w:p>
      <w:pPr>
        <w:jc w:val="center"/>
      </w:pPr>
      <w:r>
        <w:rPr>
          <w:b w:val="0"/>
          <w:i w:val="0"/>
          <w:color w:val="888888"/>
          <w:sz w:val="20"/>
        </w:rPr>
        <w:t>52,000+ lines of Python | 35 Specialized Agents | 7 Subsystems | 1,588 Tests</w:t>
      </w:r>
    </w:p>
    <w:p>
      <w:r>
        <w:br w:type="page"/>
      </w:r>
    </w:p>
    <w:p>
      <w:pPr>
        <w:pStyle w:val="Heading1"/>
      </w:pPr>
      <w:r>
        <w:t>Table of Contents</w:t>
      </w:r>
    </w:p>
    <w:p>
      <w:r>
        <w:rPr>
          <w:b w:val="0"/>
          <w:i w:val="0"/>
          <w:color w:val="1A3C5E"/>
          <w:sz w:val="22"/>
        </w:rPr>
        <w:t>1. Executive Summary</w:t>
      </w:r>
    </w:p>
    <w:p>
      <w:r>
        <w:rPr>
          <w:b w:val="0"/>
          <w:i w:val="0"/>
          <w:color w:val="1A3C5E"/>
          <w:sz w:val="22"/>
        </w:rPr>
        <w:t>2. System Architecture</w:t>
      </w:r>
    </w:p>
    <w:p>
      <w:r>
        <w:rPr>
          <w:b w:val="0"/>
          <w:i w:val="0"/>
          <w:color w:val="1A3C5E"/>
          <w:sz w:val="22"/>
        </w:rPr>
        <w:t>3. The Seven Subsystems</w:t>
      </w:r>
    </w:p>
    <w:p>
      <w:r>
        <w:rPr>
          <w:b w:val="0"/>
          <w:i w:val="0"/>
          <w:color w:val="1A3C5E"/>
          <w:sz w:val="22"/>
        </w:rPr>
        <w:t>4. Core Data Model</w:t>
      </w:r>
    </w:p>
    <w:p>
      <w:r>
        <w:rPr>
          <w:b w:val="0"/>
          <w:i w:val="0"/>
          <w:color w:val="1A3C5E"/>
          <w:sz w:val="22"/>
        </w:rPr>
        <w:t>5. Agent Classification &amp; Independence</w:t>
      </w:r>
    </w:p>
    <w:p>
      <w:r>
        <w:rPr>
          <w:b w:val="0"/>
          <w:i w:val="0"/>
          <w:color w:val="1A3C5E"/>
          <w:sz w:val="22"/>
        </w:rPr>
        <w:t>6. Orchestration &amp; Pipeline</w:t>
      </w:r>
    </w:p>
    <w:p>
      <w:r>
        <w:rPr>
          <w:b w:val="0"/>
          <w:i w:val="0"/>
          <w:color w:val="1A3C5E"/>
          <w:sz w:val="22"/>
        </w:rPr>
        <w:t>7. Portfolio Management &amp; Execution</w:t>
      </w:r>
    </w:p>
    <w:p>
      <w:r>
        <w:rPr>
          <w:b w:val="0"/>
          <w:i w:val="0"/>
          <w:color w:val="1A3C5E"/>
          <w:sz w:val="22"/>
        </w:rPr>
        <w:t>8. Risk Management Framework</w:t>
      </w:r>
    </w:p>
    <w:p>
      <w:r>
        <w:rPr>
          <w:b w:val="0"/>
          <w:i w:val="0"/>
          <w:color w:val="1A3C5E"/>
          <w:sz w:val="22"/>
        </w:rPr>
        <w:t>9. Security Architecture</w:t>
      </w:r>
    </w:p>
    <w:p>
      <w:r>
        <w:rPr>
          <w:b w:val="0"/>
          <w:i w:val="0"/>
          <w:color w:val="1A3C5E"/>
          <w:sz w:val="22"/>
        </w:rPr>
        <w:t>10. Deployment &amp; Operations</w:t>
      </w:r>
    </w:p>
    <w:p>
      <w:r>
        <w:rPr>
          <w:b w:val="0"/>
          <w:i w:val="0"/>
          <w:color w:val="1A3C5E"/>
          <w:sz w:val="22"/>
        </w:rPr>
        <w:t>11. Testing &amp; Quality Assurance</w:t>
      </w:r>
    </w:p>
    <w:p>
      <w:r>
        <w:rPr>
          <w:b w:val="0"/>
          <w:i w:val="0"/>
          <w:color w:val="1A3C5E"/>
          <w:sz w:val="22"/>
        </w:rPr>
        <w:t>12. Performance Characteristics</w:t>
      </w:r>
    </w:p>
    <w:p>
      <w:r>
        <w:rPr>
          <w:b w:val="0"/>
          <w:i w:val="0"/>
          <w:color w:val="1A3C5E"/>
          <w:sz w:val="22"/>
        </w:rPr>
        <w:t>13. Roadmap</w:t>
      </w:r>
    </w:p>
    <w:p>
      <w:r>
        <w:br w:type="page"/>
      </w:r>
    </w:p>
    <w:p>
      <w:pPr>
        <w:pStyle w:val="Heading1"/>
      </w:pPr>
      <w:r>
        <w:t>1. Executive Summary</w:t>
      </w:r>
    </w:p>
    <w:p>
      <w:r>
        <w:rPr>
          <w:b w:val="0"/>
          <w:i w:val="0"/>
        </w:rPr>
        <w:t>Providence is an autonomous hedge fund system that uses multiple specialized AI agents to identify, execute, manage, and exit equity positions. The core innovation is structured disagreement: investment decisions emerge from independent specialized agents whose views are synthesized through empirically-validated conflict resolution, rather than from a single monolithic model.</w:t>
      </w:r>
    </w:p>
    <w:p>
      <w:r>
        <w:rPr>
          <w:b w:val="0"/>
          <w:i w:val="0"/>
        </w:rPr>
        <w:t>The system comprises 35 agents organized into 7 subsystems, spanning the full investment lifecycle from market data ingestion through position management and post-trade analysis. Of these agents, 21 are "frozen" (pure computation, zero LLM calls), 8 are "adaptive" (using Claude Sonnet 4 for reasoning), and 6 handle perception (market data ingestion).</w:t>
      </w:r>
    </w:p>
    <w:p>
      <w:pPr>
        <w:pStyle w:val="Heading2"/>
      </w:pPr>
      <w:r>
        <w:t>Key Differentiators</w:t>
      </w:r>
    </w:p>
    <w:p>
      <w:pPr>
        <w:pStyle w:val="ListBullet"/>
      </w:pPr>
      <w:r>
        <w:t xml:space="preserve">Structured Disagreement: </w:t>
      </w:r>
    </w:p>
    <w:p>
      <w:pPr>
        <w:pStyle w:val="ListBullet"/>
      </w:pPr>
      <w:r>
        <w:rPr>
          <w:b/>
        </w:rPr>
        <w:t xml:space="preserve">Structured Disagreement: </w:t>
      </w:r>
      <w:r>
        <w:t>Multiple independent research agents produce competing investment theses. No agent sees another's beliefs. Synthesis happens through explicit conflict resolution.</w:t>
      </w:r>
    </w:p>
    <w:p>
      <w:pPr>
        <w:pStyle w:val="ListBullet"/>
      </w:pPr>
      <w:r>
        <w:rPr>
          <w:b/>
        </w:rPr>
        <w:t xml:space="preserve">Hybrid Intelligence: </w:t>
      </w:r>
      <w:r>
        <w:t>LLM-powered reasoning for qualitative analysis (macro, narrative, events) combined with deterministic computation for quantitative tasks (regime detection, portfolio optimization, risk).</w:t>
      </w:r>
    </w:p>
    <w:p>
      <w:pPr>
        <w:pStyle w:val="ListBullet"/>
      </w:pPr>
      <w:r>
        <w:rPr>
          <w:b/>
        </w:rPr>
        <w:t xml:space="preserve">Full Lifecycle Coverage: </w:t>
      </w:r>
      <w:r>
        <w:t>Not just entry signals. The system manages the entire position lifecycle: entry, monitoring, thesis renewal, trailing stops, and exit with regret estimation.</w:t>
      </w:r>
    </w:p>
    <w:p>
      <w:pPr>
        <w:pStyle w:val="ListBullet"/>
      </w:pPr>
      <w:r>
        <w:rPr>
          <w:b/>
        </w:rPr>
        <w:t xml:space="preserve">Governance by Design: </w:t>
      </w:r>
      <w:r>
        <w:t>Capital tier controls, agent maturity gates, policy enforcement, and kill switches are embedded in the architecture, not bolted on.</w:t>
      </w:r>
    </w:p>
    <w:p>
      <w:pPr>
        <w:pStyle w:val="Heading2"/>
      </w:pPr>
      <w:r>
        <w:t>By the Numbers</w:t>
      </w:r>
    </w:p>
    <w:tbl>
      <w:tblPr>
        <w:tblStyle w:val="TableGrid"/>
        <w:tblW w:type="auto" w:w="0"/>
        <w:jc w:val="center"/>
        <w:tblLook w:firstColumn="1" w:firstRow="1" w:lastColumn="0" w:lastRow="0" w:noHBand="0" w:noVBand="1" w:val="04A0"/>
      </w:tblPr>
      <w:tblGrid>
        <w:gridCol w:w="4392"/>
        <w:gridCol w:w="4392"/>
      </w:tblGrid>
      <w:tr>
        <w:tc>
          <w:tcPr>
            <w:tcW w:type="dxa" w:w="3600"/>
            <w:shd w:fill="1a3c5e" w:color="auto" w:val="clear"/>
          </w:tcPr>
          <w:p>
            <w:r>
              <w:rPr>
                <w:rFonts w:ascii="Calibri" w:hAnsi="Calibri"/>
                <w:b/>
                <w:color w:val="FFFFFF"/>
                <w:sz w:val="18"/>
              </w:rPr>
              <w:t>Metric</w:t>
            </w:r>
          </w:p>
        </w:tc>
        <w:tc>
          <w:tcPr>
            <w:tcW w:type="dxa" w:w="5472"/>
            <w:shd w:fill="1a3c5e" w:color="auto" w:val="clear"/>
          </w:tcPr>
          <w:p>
            <w:r>
              <w:rPr>
                <w:rFonts w:ascii="Calibri" w:hAnsi="Calibri"/>
                <w:b/>
                <w:color w:val="FFFFFF"/>
                <w:sz w:val="18"/>
              </w:rPr>
              <w:t>Value</w:t>
            </w:r>
          </w:p>
        </w:tc>
      </w:tr>
      <w:tr>
        <w:tc>
          <w:tcPr>
            <w:tcW w:type="dxa" w:w="3600"/>
          </w:tcPr>
          <w:p>
            <w:r>
              <w:rPr>
                <w:rFonts w:ascii="Calibri" w:hAnsi="Calibri"/>
                <w:b w:val="0"/>
                <w:sz w:val="18"/>
              </w:rPr>
              <w:t>Total Agents</w:t>
            </w:r>
          </w:p>
        </w:tc>
        <w:tc>
          <w:tcPr>
            <w:tcW w:type="dxa" w:w="5472"/>
          </w:tcPr>
          <w:p>
            <w:r>
              <w:rPr>
                <w:rFonts w:ascii="Calibri" w:hAnsi="Calibri"/>
                <w:b w:val="0"/>
                <w:sz w:val="18"/>
              </w:rPr>
              <w:t>35 (21 frozen + 8 adaptive + 6 perception)</w:t>
            </w:r>
          </w:p>
        </w:tc>
      </w:tr>
      <w:tr>
        <w:tc>
          <w:tcPr>
            <w:tcW w:type="dxa" w:w="3600"/>
          </w:tcPr>
          <w:p>
            <w:r>
              <w:rPr>
                <w:rFonts w:ascii="Calibri" w:hAnsi="Calibri"/>
                <w:b w:val="0"/>
                <w:sz w:val="18"/>
              </w:rPr>
              <w:t>Subsystems</w:t>
            </w:r>
          </w:p>
        </w:tc>
        <w:tc>
          <w:tcPr>
            <w:tcW w:type="dxa" w:w="5472"/>
          </w:tcPr>
          <w:p>
            <w:r>
              <w:rPr>
                <w:rFonts w:ascii="Calibri" w:hAnsi="Calibri"/>
                <w:b w:val="0"/>
                <w:sz w:val="18"/>
              </w:rPr>
              <w:t>7 (Perception, Cognition, Regime, Decision, Execution, Exit, Learning/Governance)</w:t>
            </w:r>
          </w:p>
        </w:tc>
      </w:tr>
      <w:tr>
        <w:tc>
          <w:tcPr>
            <w:tcW w:type="dxa" w:w="3600"/>
          </w:tcPr>
          <w:p>
            <w:r>
              <w:rPr>
                <w:rFonts w:ascii="Calibri" w:hAnsi="Calibri"/>
                <w:b w:val="0"/>
                <w:sz w:val="18"/>
              </w:rPr>
              <w:t>Pydantic Schemas</w:t>
            </w:r>
          </w:p>
        </w:tc>
        <w:tc>
          <w:tcPr>
            <w:tcW w:type="dxa" w:w="5472"/>
          </w:tcPr>
          <w:p>
            <w:r>
              <w:rPr>
                <w:rFonts w:ascii="Calibri" w:hAnsi="Calibri"/>
                <w:b w:val="0"/>
                <w:sz w:val="18"/>
              </w:rPr>
              <w:t>93 frozen models + 23 enums = 116 typed structures</w:t>
            </w:r>
          </w:p>
        </w:tc>
      </w:tr>
      <w:tr>
        <w:tc>
          <w:tcPr>
            <w:tcW w:type="dxa" w:w="3600"/>
          </w:tcPr>
          <w:p>
            <w:r>
              <w:rPr>
                <w:rFonts w:ascii="Calibri" w:hAnsi="Calibri"/>
                <w:b w:val="0"/>
                <w:sz w:val="18"/>
              </w:rPr>
              <w:t>Test Suite</w:t>
            </w:r>
          </w:p>
        </w:tc>
        <w:tc>
          <w:tcPr>
            <w:tcW w:type="dxa" w:w="5472"/>
          </w:tcPr>
          <w:p>
            <w:r>
              <w:rPr>
                <w:rFonts w:ascii="Calibri" w:hAnsi="Calibri"/>
                <w:b w:val="0"/>
                <w:sz w:val="18"/>
              </w:rPr>
              <w:t>1,588 tests across 56 test files</w:t>
            </w:r>
          </w:p>
        </w:tc>
      </w:tr>
      <w:tr>
        <w:tc>
          <w:tcPr>
            <w:tcW w:type="dxa" w:w="3600"/>
          </w:tcPr>
          <w:p>
            <w:r>
              <w:rPr>
                <w:rFonts w:ascii="Calibri" w:hAnsi="Calibri"/>
                <w:b w:val="0"/>
                <w:sz w:val="18"/>
              </w:rPr>
              <w:t>Source Code</w:t>
            </w:r>
          </w:p>
        </w:tc>
        <w:tc>
          <w:tcPr>
            <w:tcW w:type="dxa" w:w="5472"/>
          </w:tcPr>
          <w:p>
            <w:r>
              <w:rPr>
                <w:rFonts w:ascii="Calibri" w:hAnsi="Calibri"/>
                <w:b w:val="0"/>
                <w:sz w:val="18"/>
              </w:rPr>
              <w:t>26,104 lines (providence/) + 26,083 lines (tests/)</w:t>
            </w:r>
          </w:p>
        </w:tc>
      </w:tr>
      <w:tr>
        <w:tc>
          <w:tcPr>
            <w:tcW w:type="dxa" w:w="3600"/>
          </w:tcPr>
          <w:p>
            <w:r>
              <w:rPr>
                <w:rFonts w:ascii="Calibri" w:hAnsi="Calibri"/>
                <w:b w:val="0"/>
                <w:sz w:val="18"/>
              </w:rPr>
              <w:t>Python Files</w:t>
            </w:r>
          </w:p>
        </w:tc>
        <w:tc>
          <w:tcPr>
            <w:tcW w:type="dxa" w:w="5472"/>
          </w:tcPr>
          <w:p>
            <w:r>
              <w:rPr>
                <w:rFonts w:ascii="Calibri" w:hAnsi="Calibri"/>
                <w:b w:val="0"/>
                <w:sz w:val="18"/>
              </w:rPr>
              <w:t>112 source files</w:t>
            </w:r>
          </w:p>
        </w:tc>
      </w:tr>
      <w:tr>
        <w:tc>
          <w:tcPr>
            <w:tcW w:type="dxa" w:w="3600"/>
          </w:tcPr>
          <w:p>
            <w:r>
              <w:rPr>
                <w:rFonts w:ascii="Calibri" w:hAnsi="Calibri"/>
                <w:b w:val="0"/>
                <w:sz w:val="18"/>
              </w:rPr>
              <w:t>Prompt Templates</w:t>
            </w:r>
          </w:p>
        </w:tc>
        <w:tc>
          <w:tcPr>
            <w:tcW w:type="dxa" w:w="5472"/>
          </w:tcPr>
          <w:p>
            <w:r>
              <w:rPr>
                <w:rFonts w:ascii="Calibri" w:hAnsi="Calibri"/>
                <w:b w:val="0"/>
                <w:sz w:val="18"/>
              </w:rPr>
              <w:t>8 version-controlled YAML templates</w:t>
            </w:r>
          </w:p>
        </w:tc>
      </w:tr>
      <w:tr>
        <w:tc>
          <w:tcPr>
            <w:tcW w:type="dxa" w:w="3600"/>
          </w:tcPr>
          <w:p>
            <w:r>
              <w:rPr>
                <w:rFonts w:ascii="Calibri" w:hAnsi="Calibri"/>
                <w:b w:val="0"/>
                <w:sz w:val="18"/>
              </w:rPr>
              <w:t>External Integrations</w:t>
            </w:r>
          </w:p>
        </w:tc>
        <w:tc>
          <w:tcPr>
            <w:tcW w:type="dxa" w:w="5472"/>
          </w:tcPr>
          <w:p>
            <w:r>
              <w:rPr>
                <w:rFonts w:ascii="Calibri" w:hAnsi="Calibri"/>
                <w:b w:val="0"/>
                <w:sz w:val="18"/>
              </w:rPr>
              <w:t>Polygon.io, SEC EDGAR, FRED, Alpaca Markets, Anthropic Claude</w:t>
            </w:r>
          </w:p>
        </w:tc>
      </w:tr>
      <w:tr>
        <w:tc>
          <w:tcPr>
            <w:tcW w:type="dxa" w:w="3600"/>
          </w:tcPr>
          <w:p>
            <w:r>
              <w:rPr>
                <w:rFonts w:ascii="Calibri" w:hAnsi="Calibri"/>
                <w:b w:val="0"/>
                <w:sz w:val="18"/>
              </w:rPr>
              <w:t>Pipeline Loops</w:t>
            </w:r>
          </w:p>
        </w:tc>
        <w:tc>
          <w:tcPr>
            <w:tcW w:type="dxa" w:w="5472"/>
          </w:tcPr>
          <w:p>
            <w:r>
              <w:rPr>
                <w:rFonts w:ascii="Calibri" w:hAnsi="Calibri"/>
                <w:b w:val="0"/>
                <w:sz w:val="18"/>
              </w:rPr>
              <w:t>4 (Main trading, Exit, Learning, Governance)</w:t>
            </w:r>
          </w:p>
        </w:tc>
      </w:tr>
    </w:tbl>
    <w:p/>
    <w:p>
      <w:r>
        <w:br w:type="page"/>
      </w:r>
    </w:p>
    <w:p>
      <w:pPr>
        <w:pStyle w:val="Heading1"/>
      </w:pPr>
      <w:r>
        <w:t>2. System Architecture</w:t>
      </w:r>
    </w:p>
    <w:p>
      <w:r>
        <w:rPr>
          <w:b w:val="0"/>
          <w:i w:val="0"/>
        </w:rPr>
        <w:t>Providence follows a layered architecture with strict data flow constraints. Information flows unidirectionally through seven subsystems, each with well-defined inputs and outputs. The architecture enforces three core invariants:</w:t>
      </w:r>
    </w:p>
    <w:p>
      <w:pPr>
        <w:pStyle w:val="ListBullet"/>
      </w:pPr>
      <w:r>
        <w:rPr>
          <w:b/>
        </w:rPr>
        <w:t xml:space="preserve">Data Immutability: </w:t>
      </w:r>
      <w:r>
        <w:t>All data objects are append-only and content-hashed. No in-place updates. Every MarketStateFragment and BeliefObject is frozen after creation.</w:t>
      </w:r>
    </w:p>
    <w:p>
      <w:pPr>
        <w:pStyle w:val="ListBullet"/>
      </w:pPr>
      <w:r>
        <w:rPr>
          <w:b/>
        </w:rPr>
        <w:t xml:space="preserve">Agent Independence: </w:t>
      </w:r>
      <w:r>
        <w:t>Research agents never see each other's beliefs. Each receives only raw market data (MarketStateFragments) and produces beliefs independently.</w:t>
      </w:r>
    </w:p>
    <w:p>
      <w:pPr>
        <w:pStyle w:val="ListBullet"/>
      </w:pPr>
      <w:r>
        <w:rPr>
          <w:b/>
        </w:rPr>
        <w:t xml:space="preserve">Deterministic Reproducibility: </w:t>
      </w:r>
      <w:r>
        <w:t>Context windows are SHA-256 hashed. Given the same fragments, the same agent will receive the same context, enabling audit and replay.</w:t>
      </w:r>
    </w:p>
    <w:p>
      <w:pPr>
        <w:pStyle w:val="Heading2"/>
      </w:pPr>
      <w:r>
        <w:t>Data Flow</w:t>
      </w:r>
    </w:p>
    <w:p>
      <w:pPr>
        <w:spacing w:after="80"/>
      </w:pPr>
      <w:r>
        <w:rPr>
          <w:b w:val="0"/>
          <w:i w:val="0"/>
        </w:rPr>
        <w:t>The primary data flow follows the main trading loop:</w:t>
      </w:r>
    </w:p>
    <w:p>
      <w:r>
        <w:rPr>
          <w:b w:val="0"/>
          <w:i/>
          <w:color w:val="555555"/>
          <w:sz w:val="20"/>
        </w:rPr>
        <w:t>Market Data Sources  →  PERCEPTION (6 agents)  →  MarketStateFragments  →  COGNITION (7 agents)  →  BeliefObjects  →  REGIME (4 agents)  →  RegimeStateObject  →  DECISION (2 agents)  →  PositionProposal  →  EXECUTION (4 agents)  →  Orders</w:t>
      </w:r>
    </w:p>
    <w:p>
      <w:r>
        <w:rPr>
          <w:b w:val="0"/>
          <w:i w:val="0"/>
        </w:rPr>
        <w:t>Three auxiliary loops operate on different cadences:</w:t>
      </w:r>
    </w:p>
    <w:p>
      <w:pPr>
        <w:pStyle w:val="ListBullet"/>
      </w:pPr>
      <w:r>
        <w:rPr>
          <w:b/>
        </w:rPr>
        <w:t xml:space="preserve">Exit Loop: </w:t>
      </w:r>
      <w:r>
        <w:t>5 agents monitoring active positions for exit signals, thesis invalidation, and renewal.</w:t>
      </w:r>
    </w:p>
    <w:p>
      <w:pPr>
        <w:pStyle w:val="ListBullet"/>
      </w:pPr>
      <w:r>
        <w:rPr>
          <w:b/>
        </w:rPr>
        <w:t xml:space="preserve">Learning Loop: </w:t>
      </w:r>
      <w:r>
        <w:t>4 agents performing offline attribution, calibration, retraining recommendations, and backtesting.</w:t>
      </w:r>
    </w:p>
    <w:p>
      <w:pPr>
        <w:pStyle w:val="ListBullet"/>
      </w:pPr>
      <w:r>
        <w:rPr>
          <w:b/>
        </w:rPr>
        <w:t xml:space="preserve">Governance Loop: </w:t>
      </w:r>
      <w:r>
        <w:t>4 agents enforcing capital tiers, agent maturity gates, system oversight, and policy compliance.</w:t>
      </w:r>
    </w:p>
    <w:p>
      <w:r>
        <w:br w:type="page"/>
      </w:r>
    </w:p>
    <w:p>
      <w:pPr>
        <w:pStyle w:val="Heading1"/>
      </w:pPr>
      <w:r>
        <w:t>3. The Seven Subsystems</w:t>
      </w:r>
    </w:p>
    <w:p>
      <w:pPr>
        <w:pStyle w:val="Heading2"/>
      </w:pPr>
      <w:r>
        <w:t>3.1 Perception (Frozen)</w:t>
      </w:r>
    </w:p>
    <w:p>
      <w:r>
        <w:rPr>
          <w:b w:val="0"/>
          <w:i w:val="0"/>
        </w:rPr>
        <w:t>Six frozen agents ingest real-time and historical market data from external sources, producing typed MarketStateFragments. Each agent specializes in a single data domain:</w:t>
      </w:r>
    </w:p>
    <w:tbl>
      <w:tblPr>
        <w:tblStyle w:val="TableGrid"/>
        <w:tblW w:type="auto" w:w="0"/>
        <w:jc w:val="center"/>
        <w:tblLook w:firstColumn="1" w:firstRow="1" w:lastColumn="0" w:lastRow="0" w:noHBand="0" w:noVBand="1" w:val="04A0"/>
      </w:tblPr>
      <w:tblGrid>
        <w:gridCol w:w="2928"/>
        <w:gridCol w:w="2928"/>
        <w:gridCol w:w="2928"/>
      </w:tblGrid>
      <w:tr>
        <w:tc>
          <w:tcPr>
            <w:tcW w:type="dxa" w:w="2592"/>
            <w:shd w:fill="1a3c5e" w:color="auto" w:val="clear"/>
          </w:tcPr>
          <w:p>
            <w:r>
              <w:rPr>
                <w:rFonts w:ascii="Calibri" w:hAnsi="Calibri"/>
                <w:b/>
                <w:color w:val="FFFFFF"/>
                <w:sz w:val="18"/>
              </w:rPr>
              <w:t>Agent</w:t>
            </w:r>
          </w:p>
        </w:tc>
        <w:tc>
          <w:tcPr>
            <w:tcW w:type="dxa" w:w="2160"/>
            <w:shd w:fill="1a3c5e" w:color="auto" w:val="clear"/>
          </w:tcPr>
          <w:p>
            <w:r>
              <w:rPr>
                <w:rFonts w:ascii="Calibri" w:hAnsi="Calibri"/>
                <w:b/>
                <w:color w:val="FFFFFF"/>
                <w:sz w:val="18"/>
              </w:rPr>
              <w:t>Source</w:t>
            </w:r>
          </w:p>
        </w:tc>
        <w:tc>
          <w:tcPr>
            <w:tcW w:type="dxa" w:w="4320"/>
            <w:shd w:fill="1a3c5e" w:color="auto" w:val="clear"/>
          </w:tcPr>
          <w:p>
            <w:r>
              <w:rPr>
                <w:rFonts w:ascii="Calibri" w:hAnsi="Calibri"/>
                <w:b/>
                <w:color w:val="FFFFFF"/>
                <w:sz w:val="18"/>
              </w:rPr>
              <w:t>Output</w:t>
            </w:r>
          </w:p>
        </w:tc>
      </w:tr>
      <w:tr>
        <w:tc>
          <w:tcPr>
            <w:tcW w:type="dxa" w:w="2592"/>
          </w:tcPr>
          <w:p>
            <w:r>
              <w:rPr>
                <w:rFonts w:ascii="Calibri" w:hAnsi="Calibri"/>
                <w:b w:val="0"/>
                <w:sz w:val="18"/>
              </w:rPr>
              <w:t>PERCEPT-PRICE</w:t>
            </w:r>
          </w:p>
        </w:tc>
        <w:tc>
          <w:tcPr>
            <w:tcW w:type="dxa" w:w="2160"/>
          </w:tcPr>
          <w:p>
            <w:r>
              <w:rPr>
                <w:rFonts w:ascii="Calibri" w:hAnsi="Calibri"/>
                <w:b w:val="0"/>
                <w:sz w:val="18"/>
              </w:rPr>
              <w:t>Polygon.io</w:t>
            </w:r>
          </w:p>
        </w:tc>
        <w:tc>
          <w:tcPr>
            <w:tcW w:type="dxa" w:w="4320"/>
          </w:tcPr>
          <w:p>
            <w:r>
              <w:rPr>
                <w:rFonts w:ascii="Calibri" w:hAnsi="Calibri"/>
                <w:b w:val="0"/>
                <w:sz w:val="18"/>
              </w:rPr>
              <w:t>OHLCV bars (daily + intraday), volume profiles</w:t>
            </w:r>
          </w:p>
        </w:tc>
      </w:tr>
      <w:tr>
        <w:tc>
          <w:tcPr>
            <w:tcW w:type="dxa" w:w="2592"/>
          </w:tcPr>
          <w:p>
            <w:r>
              <w:rPr>
                <w:rFonts w:ascii="Calibri" w:hAnsi="Calibri"/>
                <w:b w:val="0"/>
                <w:sz w:val="18"/>
              </w:rPr>
              <w:t>PERCEPT-FILING</w:t>
            </w:r>
          </w:p>
        </w:tc>
        <w:tc>
          <w:tcPr>
            <w:tcW w:type="dxa" w:w="2160"/>
          </w:tcPr>
          <w:p>
            <w:r>
              <w:rPr>
                <w:rFonts w:ascii="Calibri" w:hAnsi="Calibri"/>
                <w:b w:val="0"/>
                <w:sz w:val="18"/>
              </w:rPr>
              <w:t>SEC EDGAR</w:t>
            </w:r>
          </w:p>
        </w:tc>
        <w:tc>
          <w:tcPr>
            <w:tcW w:type="dxa" w:w="4320"/>
          </w:tcPr>
          <w:p>
            <w:r>
              <w:rPr>
                <w:rFonts w:ascii="Calibri" w:hAnsi="Calibri"/>
                <w:b w:val="0"/>
                <w:sz w:val="18"/>
              </w:rPr>
              <w:t>10-K/10-Q financials, parsed XBRL data</w:t>
            </w:r>
          </w:p>
        </w:tc>
      </w:tr>
      <w:tr>
        <w:tc>
          <w:tcPr>
            <w:tcW w:type="dxa" w:w="2592"/>
          </w:tcPr>
          <w:p>
            <w:r>
              <w:rPr>
                <w:rFonts w:ascii="Calibri" w:hAnsi="Calibri"/>
                <w:b w:val="0"/>
                <w:sz w:val="18"/>
              </w:rPr>
              <w:t>PERCEPT-NEWS</w:t>
            </w:r>
          </w:p>
        </w:tc>
        <w:tc>
          <w:tcPr>
            <w:tcW w:type="dxa" w:w="2160"/>
          </w:tcPr>
          <w:p>
            <w:r>
              <w:rPr>
                <w:rFonts w:ascii="Calibri" w:hAnsi="Calibri"/>
                <w:b w:val="0"/>
                <w:sz w:val="18"/>
              </w:rPr>
              <w:t>Polygon.io</w:t>
            </w:r>
          </w:p>
        </w:tc>
        <w:tc>
          <w:tcPr>
            <w:tcW w:type="dxa" w:w="4320"/>
          </w:tcPr>
          <w:p>
            <w:r>
              <w:rPr>
                <w:rFonts w:ascii="Calibri" w:hAnsi="Calibri"/>
                <w:b w:val="0"/>
                <w:sz w:val="18"/>
              </w:rPr>
              <w:t>News articles with sentiment scoring</w:t>
            </w:r>
          </w:p>
        </w:tc>
      </w:tr>
      <w:tr>
        <w:tc>
          <w:tcPr>
            <w:tcW w:type="dxa" w:w="2592"/>
          </w:tcPr>
          <w:p>
            <w:r>
              <w:rPr>
                <w:rFonts w:ascii="Calibri" w:hAnsi="Calibri"/>
                <w:b w:val="0"/>
                <w:sz w:val="18"/>
              </w:rPr>
              <w:t>PERCEPT-OPTIONS</w:t>
            </w:r>
          </w:p>
        </w:tc>
        <w:tc>
          <w:tcPr>
            <w:tcW w:type="dxa" w:w="2160"/>
          </w:tcPr>
          <w:p>
            <w:r>
              <w:rPr>
                <w:rFonts w:ascii="Calibri" w:hAnsi="Calibri"/>
                <w:b w:val="0"/>
                <w:sz w:val="18"/>
              </w:rPr>
              <w:t>Polygon.io</w:t>
            </w:r>
          </w:p>
        </w:tc>
        <w:tc>
          <w:tcPr>
            <w:tcW w:type="dxa" w:w="4320"/>
          </w:tcPr>
          <w:p>
            <w:r>
              <w:rPr>
                <w:rFonts w:ascii="Calibri" w:hAnsi="Calibri"/>
                <w:b w:val="0"/>
                <w:sz w:val="18"/>
              </w:rPr>
              <w:t>Options chains, implied volatility surfaces</w:t>
            </w:r>
          </w:p>
        </w:tc>
      </w:tr>
      <w:tr>
        <w:tc>
          <w:tcPr>
            <w:tcW w:type="dxa" w:w="2592"/>
          </w:tcPr>
          <w:p>
            <w:r>
              <w:rPr>
                <w:rFonts w:ascii="Calibri" w:hAnsi="Calibri"/>
                <w:b w:val="0"/>
                <w:sz w:val="18"/>
              </w:rPr>
              <w:t>PERCEPT-CDS</w:t>
            </w:r>
          </w:p>
        </w:tc>
        <w:tc>
          <w:tcPr>
            <w:tcW w:type="dxa" w:w="2160"/>
          </w:tcPr>
          <w:p>
            <w:r>
              <w:rPr>
                <w:rFonts w:ascii="Calibri" w:hAnsi="Calibri"/>
                <w:b w:val="0"/>
                <w:sz w:val="18"/>
              </w:rPr>
              <w:t>Polygon.io</w:t>
            </w:r>
          </w:p>
        </w:tc>
        <w:tc>
          <w:tcPr>
            <w:tcW w:type="dxa" w:w="4320"/>
          </w:tcPr>
          <w:p>
            <w:r>
              <w:rPr>
                <w:rFonts w:ascii="Calibri" w:hAnsi="Calibri"/>
                <w:b w:val="0"/>
                <w:sz w:val="18"/>
              </w:rPr>
              <w:t>Credit default swap spreads</w:t>
            </w:r>
          </w:p>
        </w:tc>
      </w:tr>
      <w:tr>
        <w:tc>
          <w:tcPr>
            <w:tcW w:type="dxa" w:w="2592"/>
          </w:tcPr>
          <w:p>
            <w:r>
              <w:rPr>
                <w:rFonts w:ascii="Calibri" w:hAnsi="Calibri"/>
                <w:b w:val="0"/>
                <w:sz w:val="18"/>
              </w:rPr>
              <w:t>PERCEPT-MACRO</w:t>
            </w:r>
          </w:p>
        </w:tc>
        <w:tc>
          <w:tcPr>
            <w:tcW w:type="dxa" w:w="2160"/>
          </w:tcPr>
          <w:p>
            <w:r>
              <w:rPr>
                <w:rFonts w:ascii="Calibri" w:hAnsi="Calibri"/>
                <w:b w:val="0"/>
                <w:sz w:val="18"/>
              </w:rPr>
              <w:t>FRED</w:t>
            </w:r>
          </w:p>
        </w:tc>
        <w:tc>
          <w:tcPr>
            <w:tcW w:type="dxa" w:w="4320"/>
          </w:tcPr>
          <w:p>
            <w:r>
              <w:rPr>
                <w:rFonts w:ascii="Calibri" w:hAnsi="Calibri"/>
                <w:b w:val="0"/>
                <w:sz w:val="18"/>
              </w:rPr>
              <w:t>Yield curves, economic indicators, monetary policy data</w:t>
            </w:r>
          </w:p>
        </w:tc>
      </w:tr>
    </w:tbl>
    <w:p/>
    <w:p>
      <w:pPr>
        <w:pStyle w:val="Heading2"/>
      </w:pPr>
      <w:r>
        <w:t>3.2 Cognition (Hybrid)</w:t>
      </w:r>
    </w:p>
    <w:p>
      <w:r>
        <w:rPr>
          <w:b w:val="0"/>
          <w:i w:val="0"/>
        </w:rPr>
        <w:t>Seven independent research agents analyze market data and produce investment theses (BeliefObjects). Agent independence is strictly enforced: no agent can see any other agent's beliefs. This creates genuine structured disagreement.</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fill="1a3c5e" w:color="auto" w:val="clear"/>
          </w:tcPr>
          <w:p>
            <w:r>
              <w:rPr>
                <w:rFonts w:ascii="Calibri" w:hAnsi="Calibri"/>
                <w:b/>
                <w:color w:val="FFFFFF"/>
                <w:sz w:val="18"/>
              </w:rPr>
              <w:t>Agent</w:t>
            </w:r>
          </w:p>
        </w:tc>
        <w:tc>
          <w:tcPr>
            <w:tcW w:type="dxa" w:w="2880"/>
            <w:shd w:fill="1a3c5e" w:color="auto" w:val="clear"/>
          </w:tcPr>
          <w:p>
            <w:r>
              <w:rPr>
                <w:rFonts w:ascii="Calibri" w:hAnsi="Calibri"/>
                <w:b/>
                <w:color w:val="FFFFFF"/>
                <w:sz w:val="18"/>
              </w:rPr>
              <w:t>Type</w:t>
            </w:r>
          </w:p>
        </w:tc>
        <w:tc>
          <w:tcPr>
            <w:tcW w:type="dxa" w:w="3312"/>
            <w:shd w:fill="1a3c5e" w:color="auto" w:val="clear"/>
          </w:tcPr>
          <w:p>
            <w:r>
              <w:rPr>
                <w:rFonts w:ascii="Calibri" w:hAnsi="Calibri"/>
                <w:b/>
                <w:color w:val="FFFFFF"/>
                <w:sz w:val="18"/>
              </w:rPr>
              <w:t>Focus</w:t>
            </w:r>
          </w:p>
        </w:tc>
      </w:tr>
      <w:tr>
        <w:tc>
          <w:tcPr>
            <w:tcW w:type="dxa" w:w="2880"/>
          </w:tcPr>
          <w:p>
            <w:r>
              <w:rPr>
                <w:rFonts w:ascii="Calibri" w:hAnsi="Calibri"/>
                <w:b w:val="0"/>
                <w:sz w:val="18"/>
              </w:rPr>
              <w:t>COGNIT-FUNDAMENTAL</w:t>
            </w:r>
          </w:p>
        </w:tc>
        <w:tc>
          <w:tcPr>
            <w:tcW w:type="dxa" w:w="2880"/>
          </w:tcPr>
          <w:p>
            <w:r>
              <w:rPr>
                <w:rFonts w:ascii="Calibri" w:hAnsi="Calibri"/>
                <w:b w:val="0"/>
                <w:sz w:val="18"/>
              </w:rPr>
              <w:t>Adaptive (Claude Sonnet 4)</w:t>
            </w:r>
          </w:p>
        </w:tc>
        <w:tc>
          <w:tcPr>
            <w:tcW w:type="dxa" w:w="3312"/>
          </w:tcPr>
          <w:p>
            <w:r>
              <w:rPr>
                <w:rFonts w:ascii="Calibri" w:hAnsi="Calibri"/>
                <w:b w:val="0"/>
                <w:sz w:val="18"/>
              </w:rPr>
              <w:t>Financial statement analysis, valuation, competitive moats</w:t>
            </w:r>
          </w:p>
        </w:tc>
      </w:tr>
      <w:tr>
        <w:tc>
          <w:tcPr>
            <w:tcW w:type="dxa" w:w="2880"/>
          </w:tcPr>
          <w:p>
            <w:r>
              <w:rPr>
                <w:rFonts w:ascii="Calibri" w:hAnsi="Calibri"/>
                <w:b w:val="0"/>
                <w:sz w:val="18"/>
              </w:rPr>
              <w:t>COGNIT-TECHNICAL</w:t>
            </w:r>
          </w:p>
        </w:tc>
        <w:tc>
          <w:tcPr>
            <w:tcW w:type="dxa" w:w="2880"/>
          </w:tcPr>
          <w:p>
            <w:r>
              <w:rPr>
                <w:rFonts w:ascii="Calibri" w:hAnsi="Calibri"/>
                <w:b w:val="0"/>
                <w:sz w:val="18"/>
              </w:rPr>
              <w:t>Frozen</w:t>
            </w:r>
          </w:p>
        </w:tc>
        <w:tc>
          <w:tcPr>
            <w:tcW w:type="dxa" w:w="3312"/>
          </w:tcPr>
          <w:p>
            <w:r>
              <w:rPr>
                <w:rFonts w:ascii="Calibri" w:hAnsi="Calibri"/>
                <w:b w:val="0"/>
                <w:sz w:val="18"/>
              </w:rPr>
              <w:t>SMA/EMA/RSI/MACD/Bollinger signals, momentum, pattern detection</w:t>
            </w:r>
          </w:p>
        </w:tc>
      </w:tr>
      <w:tr>
        <w:tc>
          <w:tcPr>
            <w:tcW w:type="dxa" w:w="2880"/>
          </w:tcPr>
          <w:p>
            <w:r>
              <w:rPr>
                <w:rFonts w:ascii="Calibri" w:hAnsi="Calibri"/>
                <w:b w:val="0"/>
                <w:sz w:val="18"/>
              </w:rPr>
              <w:t>COGNIT-MACRO</w:t>
            </w:r>
          </w:p>
        </w:tc>
        <w:tc>
          <w:tcPr>
            <w:tcW w:type="dxa" w:w="2880"/>
          </w:tcPr>
          <w:p>
            <w:r>
              <w:rPr>
                <w:rFonts w:ascii="Calibri" w:hAnsi="Calibri"/>
                <w:b w:val="0"/>
                <w:sz w:val="18"/>
              </w:rPr>
              <w:t>Adaptive (Claude Sonnet 4)</w:t>
            </w:r>
          </w:p>
        </w:tc>
        <w:tc>
          <w:tcPr>
            <w:tcW w:type="dxa" w:w="3312"/>
          </w:tcPr>
          <w:p>
            <w:r>
              <w:rPr>
                <w:rFonts w:ascii="Calibri" w:hAnsi="Calibri"/>
                <w:b w:val="0"/>
                <w:sz w:val="18"/>
              </w:rPr>
              <w:t>Macro-driven thesis: yield curves, monetary policy, sector rotation</w:t>
            </w:r>
          </w:p>
        </w:tc>
      </w:tr>
      <w:tr>
        <w:tc>
          <w:tcPr>
            <w:tcW w:type="dxa" w:w="2880"/>
          </w:tcPr>
          <w:p>
            <w:r>
              <w:rPr>
                <w:rFonts w:ascii="Calibri" w:hAnsi="Calibri"/>
                <w:b w:val="0"/>
                <w:sz w:val="18"/>
              </w:rPr>
              <w:t>COGNIT-EVENT</w:t>
            </w:r>
          </w:p>
        </w:tc>
        <w:tc>
          <w:tcPr>
            <w:tcW w:type="dxa" w:w="2880"/>
          </w:tcPr>
          <w:p>
            <w:r>
              <w:rPr>
                <w:rFonts w:ascii="Calibri" w:hAnsi="Calibri"/>
                <w:b w:val="0"/>
                <w:sz w:val="18"/>
              </w:rPr>
              <w:t>Adaptive (Claude Sonnet 4)</w:t>
            </w:r>
          </w:p>
        </w:tc>
        <w:tc>
          <w:tcPr>
            <w:tcW w:type="dxa" w:w="3312"/>
          </w:tcPr>
          <w:p>
            <w:r>
              <w:rPr>
                <w:rFonts w:ascii="Calibri" w:hAnsi="Calibri"/>
                <w:b w:val="0"/>
                <w:sz w:val="18"/>
              </w:rPr>
              <w:t>Earnings surprises, M&amp;A, regulatory actions, management changes</w:t>
            </w:r>
          </w:p>
        </w:tc>
      </w:tr>
      <w:tr>
        <w:tc>
          <w:tcPr>
            <w:tcW w:type="dxa" w:w="2880"/>
          </w:tcPr>
          <w:p>
            <w:r>
              <w:rPr>
                <w:rFonts w:ascii="Calibri" w:hAnsi="Calibri"/>
                <w:b w:val="0"/>
                <w:sz w:val="18"/>
              </w:rPr>
              <w:t>COGNIT-NARRATIVE</w:t>
            </w:r>
          </w:p>
        </w:tc>
        <w:tc>
          <w:tcPr>
            <w:tcW w:type="dxa" w:w="2880"/>
          </w:tcPr>
          <w:p>
            <w:r>
              <w:rPr>
                <w:rFonts w:ascii="Calibri" w:hAnsi="Calibri"/>
                <w:b w:val="0"/>
                <w:sz w:val="18"/>
              </w:rPr>
              <w:t>Adaptive (Claude Sonnet 4)</w:t>
            </w:r>
          </w:p>
        </w:tc>
        <w:tc>
          <w:tcPr>
            <w:tcW w:type="dxa" w:w="3312"/>
          </w:tcPr>
          <w:p>
            <w:r>
              <w:rPr>
                <w:rFonts w:ascii="Calibri" w:hAnsi="Calibri"/>
                <w:b w:val="0"/>
                <w:sz w:val="18"/>
              </w:rPr>
              <w:t>Market narrative, sentiment shifts, institutional positioning</w:t>
            </w:r>
          </w:p>
        </w:tc>
      </w:tr>
      <w:tr>
        <w:tc>
          <w:tcPr>
            <w:tcW w:type="dxa" w:w="2880"/>
          </w:tcPr>
          <w:p>
            <w:r>
              <w:rPr>
                <w:rFonts w:ascii="Calibri" w:hAnsi="Calibri"/>
                <w:b w:val="0"/>
                <w:sz w:val="18"/>
              </w:rPr>
              <w:t>COGNIT-CROSSSEC</w:t>
            </w:r>
          </w:p>
        </w:tc>
        <w:tc>
          <w:tcPr>
            <w:tcW w:type="dxa" w:w="2880"/>
          </w:tcPr>
          <w:p>
            <w:r>
              <w:rPr>
                <w:rFonts w:ascii="Calibri" w:hAnsi="Calibri"/>
                <w:b w:val="0"/>
                <w:sz w:val="18"/>
              </w:rPr>
              <w:t>Adaptive (Claude Sonnet 4)</w:t>
            </w:r>
          </w:p>
        </w:tc>
        <w:tc>
          <w:tcPr>
            <w:tcW w:type="dxa" w:w="3312"/>
          </w:tcPr>
          <w:p>
            <w:r>
              <w:rPr>
                <w:rFonts w:ascii="Calibri" w:hAnsi="Calibri"/>
                <w:b w:val="0"/>
                <w:sz w:val="18"/>
              </w:rPr>
              <w:t>Cross-sectional peer comparison, relative value opportunities</w:t>
            </w:r>
          </w:p>
        </w:tc>
      </w:tr>
      <w:tr>
        <w:tc>
          <w:tcPr>
            <w:tcW w:type="dxa" w:w="2880"/>
          </w:tcPr>
          <w:p>
            <w:r>
              <w:rPr>
                <w:rFonts w:ascii="Calibri" w:hAnsi="Calibri"/>
                <w:b w:val="0"/>
                <w:sz w:val="18"/>
              </w:rPr>
              <w:t>COGNIT-EXIT</w:t>
            </w:r>
          </w:p>
        </w:tc>
        <w:tc>
          <w:tcPr>
            <w:tcW w:type="dxa" w:w="2880"/>
          </w:tcPr>
          <w:p>
            <w:r>
              <w:rPr>
                <w:rFonts w:ascii="Calibri" w:hAnsi="Calibri"/>
                <w:b w:val="0"/>
                <w:sz w:val="18"/>
              </w:rPr>
              <w:t>Adaptive (Claude Sonnet 4)</w:t>
            </w:r>
          </w:p>
        </w:tc>
        <w:tc>
          <w:tcPr>
            <w:tcW w:type="dxa" w:w="3312"/>
          </w:tcPr>
          <w:p>
            <w:r>
              <w:rPr>
                <w:rFonts w:ascii="Calibri" w:hAnsi="Calibri"/>
                <w:b w:val="0"/>
                <w:sz w:val="18"/>
              </w:rPr>
              <w:t>Exit assessment with regret estimation and renewal deferral</w:t>
            </w:r>
          </w:p>
        </w:tc>
      </w:tr>
    </w:tbl>
    <w:p/>
    <w:p>
      <w:pPr>
        <w:pStyle w:val="Heading2"/>
      </w:pPr>
      <w:r>
        <w:t>3.3 Regime Detection (Hybrid)</w:t>
      </w:r>
    </w:p>
    <w:p>
      <w:r>
        <w:rPr>
          <w:b w:val="0"/>
          <w:i w:val="0"/>
        </w:rPr>
        <w:t>Four agents classify the current market regime using both statistical and narrative methods. The regime state directly modulates downstream decision-making: risk limits tighten in crisis, position sizes shrink in uncertainty, and the system can halt entirely.</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fill="1a3c5e" w:color="auto" w:val="clear"/>
          </w:tcPr>
          <w:p>
            <w:r>
              <w:rPr>
                <w:rFonts w:ascii="Calibri" w:hAnsi="Calibri"/>
                <w:b/>
                <w:color w:val="FFFFFF"/>
                <w:sz w:val="18"/>
              </w:rPr>
              <w:t>Agent</w:t>
            </w:r>
          </w:p>
        </w:tc>
        <w:tc>
          <w:tcPr>
            <w:tcW w:type="dxa" w:w="2880"/>
            <w:shd w:fill="1a3c5e" w:color="auto" w:val="clear"/>
          </w:tcPr>
          <w:p>
            <w:r>
              <w:rPr>
                <w:rFonts w:ascii="Calibri" w:hAnsi="Calibri"/>
                <w:b/>
                <w:color w:val="FFFFFF"/>
                <w:sz w:val="18"/>
              </w:rPr>
              <w:t>Type</w:t>
            </w:r>
          </w:p>
        </w:tc>
        <w:tc>
          <w:tcPr>
            <w:tcW w:type="dxa" w:w="3312"/>
            <w:shd w:fill="1a3c5e" w:color="auto" w:val="clear"/>
          </w:tcPr>
          <w:p>
            <w:r>
              <w:rPr>
                <w:rFonts w:ascii="Calibri" w:hAnsi="Calibri"/>
                <w:b/>
                <w:color w:val="FFFFFF"/>
                <w:sz w:val="18"/>
              </w:rPr>
              <w:t>Method</w:t>
            </w:r>
          </w:p>
        </w:tc>
      </w:tr>
      <w:tr>
        <w:tc>
          <w:tcPr>
            <w:tcW w:type="dxa" w:w="2880"/>
          </w:tcPr>
          <w:p>
            <w:r>
              <w:rPr>
                <w:rFonts w:ascii="Calibri" w:hAnsi="Calibri"/>
                <w:b w:val="0"/>
                <w:sz w:val="18"/>
              </w:rPr>
              <w:t>REGIME-STAT</w:t>
            </w:r>
          </w:p>
        </w:tc>
        <w:tc>
          <w:tcPr>
            <w:tcW w:type="dxa" w:w="2880"/>
          </w:tcPr>
          <w:p>
            <w:r>
              <w:rPr>
                <w:rFonts w:ascii="Calibri" w:hAnsi="Calibri"/>
                <w:b w:val="0"/>
                <w:sz w:val="18"/>
              </w:rPr>
              <w:t>Frozen</w:t>
            </w:r>
          </w:p>
        </w:tc>
        <w:tc>
          <w:tcPr>
            <w:tcW w:type="dxa" w:w="3312"/>
          </w:tcPr>
          <w:p>
            <w:r>
              <w:rPr>
                <w:rFonts w:ascii="Calibri" w:hAnsi="Calibri"/>
                <w:b w:val="0"/>
                <w:sz w:val="18"/>
              </w:rPr>
              <w:t>4-state Hidden Markov Model (pure Python forward algorithm)</w:t>
            </w:r>
          </w:p>
        </w:tc>
      </w:tr>
      <w:tr>
        <w:tc>
          <w:tcPr>
            <w:tcW w:type="dxa" w:w="2880"/>
          </w:tcPr>
          <w:p>
            <w:r>
              <w:rPr>
                <w:rFonts w:ascii="Calibri" w:hAnsi="Calibri"/>
                <w:b w:val="0"/>
                <w:sz w:val="18"/>
              </w:rPr>
              <w:t>REGIME-SECTOR</w:t>
            </w:r>
          </w:p>
        </w:tc>
        <w:tc>
          <w:tcPr>
            <w:tcW w:type="dxa" w:w="2880"/>
          </w:tcPr>
          <w:p>
            <w:r>
              <w:rPr>
                <w:rFonts w:ascii="Calibri" w:hAnsi="Calibri"/>
                <w:b w:val="0"/>
                <w:sz w:val="18"/>
              </w:rPr>
              <w:t>Frozen</w:t>
            </w:r>
          </w:p>
        </w:tc>
        <w:tc>
          <w:tcPr>
            <w:tcW w:type="dxa" w:w="3312"/>
          </w:tcPr>
          <w:p>
            <w:r>
              <w:rPr>
                <w:rFonts w:ascii="Calibri" w:hAnsi="Calibri"/>
                <w:b w:val="0"/>
                <w:sz w:val="18"/>
              </w:rPr>
              <w:t>Per-sector HMM classification with GICS mapping</w:t>
            </w:r>
          </w:p>
        </w:tc>
      </w:tr>
      <w:tr>
        <w:tc>
          <w:tcPr>
            <w:tcW w:type="dxa" w:w="2880"/>
          </w:tcPr>
          <w:p>
            <w:r>
              <w:rPr>
                <w:rFonts w:ascii="Calibri" w:hAnsi="Calibri"/>
                <w:b w:val="0"/>
                <w:sz w:val="18"/>
              </w:rPr>
              <w:t>REGIME-NARR</w:t>
            </w:r>
          </w:p>
        </w:tc>
        <w:tc>
          <w:tcPr>
            <w:tcW w:type="dxa" w:w="2880"/>
          </w:tcPr>
          <w:p>
            <w:r>
              <w:rPr>
                <w:rFonts w:ascii="Calibri" w:hAnsi="Calibri"/>
                <w:b w:val="0"/>
                <w:sz w:val="18"/>
              </w:rPr>
              <w:t>Adaptive (Claude Sonnet 4)</w:t>
            </w:r>
          </w:p>
        </w:tc>
        <w:tc>
          <w:tcPr>
            <w:tcW w:type="dxa" w:w="3312"/>
          </w:tcPr>
          <w:p>
            <w:r>
              <w:rPr>
                <w:rFonts w:ascii="Calibri" w:hAnsi="Calibri"/>
                <w:b w:val="0"/>
                <w:sz w:val="18"/>
              </w:rPr>
              <w:t>Narrative regime classification from news/events</w:t>
            </w:r>
          </w:p>
        </w:tc>
      </w:tr>
      <w:tr>
        <w:tc>
          <w:tcPr>
            <w:tcW w:type="dxa" w:w="2880"/>
          </w:tcPr>
          <w:p>
            <w:r>
              <w:rPr>
                <w:rFonts w:ascii="Calibri" w:hAnsi="Calibri"/>
                <w:b w:val="0"/>
                <w:sz w:val="18"/>
              </w:rPr>
              <w:t>REGIME-MISMATCH</w:t>
            </w:r>
          </w:p>
        </w:tc>
        <w:tc>
          <w:tcPr>
            <w:tcW w:type="dxa" w:w="2880"/>
          </w:tcPr>
          <w:p>
            <w:r>
              <w:rPr>
                <w:rFonts w:ascii="Calibri" w:hAnsi="Calibri"/>
                <w:b w:val="0"/>
                <w:sz w:val="18"/>
              </w:rPr>
              <w:t>Frozen</w:t>
            </w:r>
          </w:p>
        </w:tc>
        <w:tc>
          <w:tcPr>
            <w:tcW w:type="dxa" w:w="3312"/>
          </w:tcPr>
          <w:p>
            <w:r>
              <w:rPr>
                <w:rFonts w:ascii="Calibri" w:hAnsi="Calibri"/>
                <w:b w:val="0"/>
                <w:sz w:val="18"/>
              </w:rPr>
              <w:t>Stat-narrative-sector divergence detection, risk mode escalation</w:t>
            </w:r>
          </w:p>
        </w:tc>
      </w:tr>
    </w:tbl>
    <w:p/>
    <w:p>
      <w:r>
        <w:rPr>
          <w:b w:val="0"/>
          <w:i/>
          <w:sz w:val="20"/>
        </w:rPr>
        <w:t>Statistical regime states: LOW_VOL_TRENDING, HIGH_VOL_MEAN_REVERTING, CRISIS_DISLOCATION, TRANSITION_UNCERTAIN. System risk modes: NORMAL, CAUTIOUS, DEFENSIVE, HALTED.</w:t>
      </w:r>
    </w:p>
    <w:p>
      <w:pPr>
        <w:pStyle w:val="Heading2"/>
      </w:pPr>
      <w:r>
        <w:t>3.4 Decision (Hybrid)</w:t>
      </w:r>
    </w:p>
    <w:p>
      <w:r>
        <w:rPr>
          <w:b w:val="0"/>
          <w:i w:val="0"/>
        </w:rPr>
        <w:t>Two agents synthesize beliefs into actionable portfolio proposals:</w:t>
      </w:r>
    </w:p>
    <w:p>
      <w:pPr>
        <w:pStyle w:val="ListBullet"/>
      </w:pPr>
      <w:r>
        <w:rPr>
          <w:b/>
        </w:rPr>
        <w:t xml:space="preserve">DECIDE-SYNTH (Adaptive): </w:t>
      </w:r>
      <w:r>
        <w:t>Synthesizes all research agents' beliefs with explicit conflict resolution. When agents disagree, the system documents the disagreement, which thesis prevails, and why.</w:t>
      </w:r>
    </w:p>
    <w:p>
      <w:pPr>
        <w:pStyle w:val="ListBullet"/>
      </w:pPr>
      <w:r>
        <w:rPr>
          <w:b/>
        </w:rPr>
        <w:t xml:space="preserve">DECIDE-OPTIM (Frozen): </w:t>
      </w:r>
      <w:r>
        <w:t>Black-Litterman portfolio optimization with regime-aware constraints. Converts conviction-weighted views into position sizes with proper risk budgeting.</w:t>
      </w:r>
    </w:p>
    <w:p>
      <w:pPr>
        <w:pStyle w:val="Heading2"/>
      </w:pPr>
      <w:r>
        <w:t>3.5 Execution (Frozen)</w:t>
      </w:r>
    </w:p>
    <w:p>
      <w:r>
        <w:rPr>
          <w:b w:val="0"/>
          <w:i w:val="0"/>
        </w:rPr>
        <w:t>Four strictly sequential agents handle the trade execution pipeline. The execution chain is deliberately frozen (zero LLM) for determinism and auditability:</w:t>
      </w:r>
    </w:p>
    <w:tbl>
      <w:tblPr>
        <w:tblStyle w:val="TableGrid"/>
        <w:tblW w:type="auto" w:w="0"/>
        <w:jc w:val="center"/>
        <w:tblLook w:firstColumn="1" w:firstRow="1" w:lastColumn="0" w:lastRow="0" w:noHBand="0" w:noVBand="1" w:val="04A0"/>
      </w:tblPr>
      <w:tblGrid>
        <w:gridCol w:w="4392"/>
        <w:gridCol w:w="4392"/>
      </w:tblGrid>
      <w:tr>
        <w:tc>
          <w:tcPr>
            <w:tcW w:type="dxa" w:w="2880"/>
            <w:shd w:fill="1a3c5e" w:color="auto" w:val="clear"/>
          </w:tcPr>
          <w:p>
            <w:r>
              <w:rPr>
                <w:rFonts w:ascii="Calibri" w:hAnsi="Calibri"/>
                <w:b/>
                <w:color w:val="FFFFFF"/>
                <w:sz w:val="18"/>
              </w:rPr>
              <w:t>Agent</w:t>
            </w:r>
          </w:p>
        </w:tc>
        <w:tc>
          <w:tcPr>
            <w:tcW w:type="dxa" w:w="6192"/>
            <w:shd w:fill="1a3c5e" w:color="auto" w:val="clear"/>
          </w:tcPr>
          <w:p>
            <w:r>
              <w:rPr>
                <w:rFonts w:ascii="Calibri" w:hAnsi="Calibri"/>
                <w:b/>
                <w:color w:val="FFFFFF"/>
                <w:sz w:val="18"/>
              </w:rPr>
              <w:t>Role</w:t>
            </w:r>
          </w:p>
        </w:tc>
      </w:tr>
      <w:tr>
        <w:tc>
          <w:tcPr>
            <w:tcW w:type="dxa" w:w="2880"/>
          </w:tcPr>
          <w:p>
            <w:r>
              <w:rPr>
                <w:rFonts w:ascii="Calibri" w:hAnsi="Calibri"/>
                <w:b w:val="0"/>
                <w:sz w:val="18"/>
              </w:rPr>
              <w:t>EXEC-VALIDATE</w:t>
            </w:r>
          </w:p>
        </w:tc>
        <w:tc>
          <w:tcPr>
            <w:tcW w:type="dxa" w:w="6192"/>
          </w:tcPr>
          <w:p>
            <w:r>
              <w:rPr>
                <w:rFonts w:ascii="Calibri" w:hAnsi="Calibri"/>
                <w:b w:val="0"/>
                <w:sz w:val="18"/>
              </w:rPr>
              <w:t>Pre-trade risk validation against regime-mode constraints</w:t>
            </w:r>
          </w:p>
        </w:tc>
      </w:tr>
      <w:tr>
        <w:tc>
          <w:tcPr>
            <w:tcW w:type="dxa" w:w="2880"/>
          </w:tcPr>
          <w:p>
            <w:r>
              <w:rPr>
                <w:rFonts w:ascii="Calibri" w:hAnsi="Calibri"/>
                <w:b w:val="0"/>
                <w:sz w:val="18"/>
              </w:rPr>
              <w:t>EXEC-ROUTER</w:t>
            </w:r>
          </w:p>
        </w:tc>
        <w:tc>
          <w:tcPr>
            <w:tcW w:type="dxa" w:w="6192"/>
          </w:tcPr>
          <w:p>
            <w:r>
              <w:rPr>
                <w:rFonts w:ascii="Calibri" w:hAnsi="Calibri"/>
                <w:b w:val="0"/>
                <w:sz w:val="18"/>
              </w:rPr>
              <w:t>Order routing with strategy selection, urgency, slippage estimation</w:t>
            </w:r>
          </w:p>
        </w:tc>
      </w:tr>
      <w:tr>
        <w:tc>
          <w:tcPr>
            <w:tcW w:type="dxa" w:w="2880"/>
          </w:tcPr>
          <w:p>
            <w:r>
              <w:rPr>
                <w:rFonts w:ascii="Calibri" w:hAnsi="Calibri"/>
                <w:b w:val="0"/>
                <w:sz w:val="18"/>
              </w:rPr>
              <w:t>EXEC-GUARDIAN</w:t>
            </w:r>
          </w:p>
        </w:tc>
        <w:tc>
          <w:tcPr>
            <w:tcW w:type="dxa" w:w="6192"/>
          </w:tcPr>
          <w:p>
            <w:r>
              <w:rPr>
                <w:rFonts w:ascii="Calibri" w:hAnsi="Calibri"/>
                <w:b w:val="0"/>
                <w:sz w:val="18"/>
              </w:rPr>
              <w:t>Kill switch and circuit breakers (system halt enforcement)</w:t>
            </w:r>
          </w:p>
        </w:tc>
      </w:tr>
      <w:tr>
        <w:tc>
          <w:tcPr>
            <w:tcW w:type="dxa" w:w="2880"/>
          </w:tcPr>
          <w:p>
            <w:r>
              <w:rPr>
                <w:rFonts w:ascii="Calibri" w:hAnsi="Calibri"/>
                <w:b w:val="0"/>
                <w:sz w:val="18"/>
              </w:rPr>
              <w:t>EXEC-CAPTURE</w:t>
            </w:r>
          </w:p>
        </w:tc>
        <w:tc>
          <w:tcPr>
            <w:tcW w:type="dxa" w:w="6192"/>
          </w:tcPr>
          <w:p>
            <w:r>
              <w:rPr>
                <w:rFonts w:ascii="Calibri" w:hAnsi="Calibri"/>
                <w:b w:val="0"/>
                <w:sz w:val="18"/>
              </w:rPr>
              <w:t>Trailing stop management with 3-stage trim and hard giveback limits</w:t>
            </w:r>
          </w:p>
        </w:tc>
      </w:tr>
    </w:tbl>
    <w:p/>
    <w:p>
      <w:r>
        <w:rPr>
          <w:b/>
          <w:i w:val="0"/>
          <w:sz w:val="20"/>
        </w:rPr>
        <w:t>EXEC-CAPTURE supremacy: The trailing stop overrides all other exit signals, including COGNIT-EXIT. This is a non-negotiable architectural invariant.</w:t>
      </w:r>
    </w:p>
    <w:p>
      <w:pPr>
        <w:pStyle w:val="Heading2"/>
      </w:pPr>
      <w:r>
        <w:t>3.6 Exit System</w:t>
      </w:r>
    </w:p>
    <w:p>
      <w:r>
        <w:rPr>
          <w:b w:val="0"/>
          <w:i w:val="0"/>
        </w:rPr>
        <w:t>Five agents manage position exits with a focus on minimizing regret:</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fill="1a3c5e" w:color="auto" w:val="clear"/>
          </w:tcPr>
          <w:p>
            <w:r>
              <w:rPr>
                <w:rFonts w:ascii="Calibri" w:hAnsi="Calibri"/>
                <w:b/>
                <w:color w:val="FFFFFF"/>
                <w:sz w:val="18"/>
              </w:rPr>
              <w:t>Agent</w:t>
            </w:r>
          </w:p>
        </w:tc>
        <w:tc>
          <w:tcPr>
            <w:tcW w:type="dxa" w:w="1728"/>
            <w:shd w:fill="1a3c5e" w:color="auto" w:val="clear"/>
          </w:tcPr>
          <w:p>
            <w:r>
              <w:rPr>
                <w:rFonts w:ascii="Calibri" w:hAnsi="Calibri"/>
                <w:b/>
                <w:color w:val="FFFFFF"/>
                <w:sz w:val="18"/>
              </w:rPr>
              <w:t>Type</w:t>
            </w:r>
          </w:p>
        </w:tc>
        <w:tc>
          <w:tcPr>
            <w:tcW w:type="dxa" w:w="5184"/>
            <w:shd w:fill="1a3c5e" w:color="auto" w:val="clear"/>
          </w:tcPr>
          <w:p>
            <w:r>
              <w:rPr>
                <w:rFonts w:ascii="Calibri" w:hAnsi="Calibri"/>
                <w:b/>
                <w:color w:val="FFFFFF"/>
                <w:sz w:val="18"/>
              </w:rPr>
              <w:t>Function</w:t>
            </w:r>
          </w:p>
        </w:tc>
      </w:tr>
      <w:tr>
        <w:tc>
          <w:tcPr>
            <w:tcW w:type="dxa" w:w="2160"/>
          </w:tcPr>
          <w:p>
            <w:r>
              <w:rPr>
                <w:rFonts w:ascii="Calibri" w:hAnsi="Calibri"/>
                <w:b w:val="0"/>
                <w:sz w:val="18"/>
              </w:rPr>
              <w:t>COGNIT-EXIT</w:t>
            </w:r>
          </w:p>
        </w:tc>
        <w:tc>
          <w:tcPr>
            <w:tcW w:type="dxa" w:w="1728"/>
          </w:tcPr>
          <w:p>
            <w:r>
              <w:rPr>
                <w:rFonts w:ascii="Calibri" w:hAnsi="Calibri"/>
                <w:b w:val="0"/>
                <w:sz w:val="18"/>
              </w:rPr>
              <w:t>Adaptive</w:t>
            </w:r>
          </w:p>
        </w:tc>
        <w:tc>
          <w:tcPr>
            <w:tcW w:type="dxa" w:w="5184"/>
          </w:tcPr>
          <w:p>
            <w:r>
              <w:rPr>
                <w:rFonts w:ascii="Calibri" w:hAnsi="Calibri"/>
                <w:b w:val="0"/>
                <w:sz w:val="18"/>
              </w:rPr>
              <w:t>Exit assessment with regret estimation (missed upside vs. giveback)</w:t>
            </w:r>
          </w:p>
        </w:tc>
      </w:tr>
      <w:tr>
        <w:tc>
          <w:tcPr>
            <w:tcW w:type="dxa" w:w="2160"/>
          </w:tcPr>
          <w:p>
            <w:r>
              <w:rPr>
                <w:rFonts w:ascii="Calibri" w:hAnsi="Calibri"/>
                <w:b w:val="0"/>
                <w:sz w:val="18"/>
              </w:rPr>
              <w:t>INVALID-MON</w:t>
            </w:r>
          </w:p>
        </w:tc>
        <w:tc>
          <w:tcPr>
            <w:tcW w:type="dxa" w:w="1728"/>
          </w:tcPr>
          <w:p>
            <w:r>
              <w:rPr>
                <w:rFonts w:ascii="Calibri" w:hAnsi="Calibri"/>
                <w:b w:val="0"/>
                <w:sz w:val="18"/>
              </w:rPr>
              <w:t>Frozen</w:t>
            </w:r>
          </w:p>
        </w:tc>
        <w:tc>
          <w:tcPr>
            <w:tcW w:type="dxa" w:w="5184"/>
          </w:tcPr>
          <w:p>
            <w:r>
              <w:rPr>
                <w:rFonts w:ascii="Calibri" w:hAnsi="Calibri"/>
                <w:b w:val="0"/>
                <w:sz w:val="18"/>
              </w:rPr>
              <w:t>Monitors invalidation conditions with breach magnitude/velocity scoring</w:t>
            </w:r>
          </w:p>
        </w:tc>
      </w:tr>
      <w:tr>
        <w:tc>
          <w:tcPr>
            <w:tcW w:type="dxa" w:w="2160"/>
          </w:tcPr>
          <w:p>
            <w:r>
              <w:rPr>
                <w:rFonts w:ascii="Calibri" w:hAnsi="Calibri"/>
                <w:b w:val="0"/>
                <w:sz w:val="18"/>
              </w:rPr>
              <w:t>THESIS-RENEW</w:t>
            </w:r>
          </w:p>
        </w:tc>
        <w:tc>
          <w:tcPr>
            <w:tcW w:type="dxa" w:w="1728"/>
          </w:tcPr>
          <w:p>
            <w:r>
              <w:rPr>
                <w:rFonts w:ascii="Calibri" w:hAnsi="Calibri"/>
                <w:b w:val="0"/>
                <w:sz w:val="18"/>
              </w:rPr>
              <w:t>Frozen</w:t>
            </w:r>
          </w:p>
        </w:tc>
        <w:tc>
          <w:tcPr>
            <w:tcW w:type="dxa" w:w="5184"/>
          </w:tcPr>
          <w:p>
            <w:r>
              <w:rPr>
                <w:rFonts w:ascii="Calibri" w:hAnsi="Calibri"/>
                <w:b w:val="0"/>
                <w:sz w:val="18"/>
              </w:rPr>
              <w:t>Thesis renewal with confidence decay and asymmetry scoring</w:t>
            </w:r>
          </w:p>
        </w:tc>
      </w:tr>
      <w:tr>
        <w:tc>
          <w:tcPr>
            <w:tcW w:type="dxa" w:w="2160"/>
          </w:tcPr>
          <w:p>
            <w:r>
              <w:rPr>
                <w:rFonts w:ascii="Calibri" w:hAnsi="Calibri"/>
                <w:b w:val="0"/>
                <w:sz w:val="18"/>
              </w:rPr>
              <w:t>SHADOW-EXIT</w:t>
            </w:r>
          </w:p>
        </w:tc>
        <w:tc>
          <w:tcPr>
            <w:tcW w:type="dxa" w:w="1728"/>
          </w:tcPr>
          <w:p>
            <w:r>
              <w:rPr>
                <w:rFonts w:ascii="Calibri" w:hAnsi="Calibri"/>
                <w:b w:val="0"/>
                <w:sz w:val="18"/>
              </w:rPr>
              <w:t>Frozen</w:t>
            </w:r>
          </w:p>
        </w:tc>
        <w:tc>
          <w:tcPr>
            <w:tcW w:type="dxa" w:w="5184"/>
          </w:tcPr>
          <w:p>
            <w:r>
              <w:rPr>
                <w:rFonts w:ascii="Calibri" w:hAnsi="Calibri"/>
                <w:b w:val="0"/>
                <w:sz w:val="18"/>
              </w:rPr>
              <w:t>Tracks divergence between COGNIT-EXIT and EXEC-CAPTURE signals</w:t>
            </w:r>
          </w:p>
        </w:tc>
      </w:tr>
      <w:tr>
        <w:tc>
          <w:tcPr>
            <w:tcW w:type="dxa" w:w="2160"/>
          </w:tcPr>
          <w:p>
            <w:r>
              <w:rPr>
                <w:rFonts w:ascii="Calibri" w:hAnsi="Calibri"/>
                <w:b w:val="0"/>
                <w:sz w:val="18"/>
              </w:rPr>
              <w:t>RENEW-MON</w:t>
            </w:r>
          </w:p>
        </w:tc>
        <w:tc>
          <w:tcPr>
            <w:tcW w:type="dxa" w:w="1728"/>
          </w:tcPr>
          <w:p>
            <w:r>
              <w:rPr>
                <w:rFonts w:ascii="Calibri" w:hAnsi="Calibri"/>
                <w:b w:val="0"/>
                <w:sz w:val="18"/>
              </w:rPr>
              <w:t>Frozen</w:t>
            </w:r>
          </w:p>
        </w:tc>
        <w:tc>
          <w:tcPr>
            <w:tcW w:type="dxa" w:w="5184"/>
          </w:tcPr>
          <w:p>
            <w:r>
              <w:rPr>
                <w:rFonts w:ascii="Calibri" w:hAnsi="Calibri"/>
                <w:b w:val="0"/>
                <w:sz w:val="18"/>
              </w:rPr>
              <w:t>Renewal monitoring with belief health scoring and urgency classification</w:t>
            </w:r>
          </w:p>
        </w:tc>
      </w:tr>
    </w:tbl>
    <w:p/>
    <w:p>
      <w:pPr>
        <w:pStyle w:val="Heading2"/>
      </w:pPr>
      <w:r>
        <w:t>3.7 Learning (Offline Only)</w:t>
      </w:r>
    </w:p>
    <w:p>
      <w:r>
        <w:rPr>
          <w:b w:val="0"/>
          <w:i w:val="0"/>
        </w:rPr>
        <w:t>Four agents perform offline analysis. Critical architectural rule: no live learning. All retraining happens offline. Shadow mode is mandatory before live deployment of any model changes.</w:t>
      </w:r>
    </w:p>
    <w:tbl>
      <w:tblPr>
        <w:tblStyle w:val="TableGrid"/>
        <w:tblW w:type="auto" w:w="0"/>
        <w:jc w:val="center"/>
        <w:tblLook w:firstColumn="1" w:firstRow="1" w:lastColumn="0" w:lastRow="0" w:noHBand="0" w:noVBand="1" w:val="04A0"/>
      </w:tblPr>
      <w:tblGrid>
        <w:gridCol w:w="4392"/>
        <w:gridCol w:w="4392"/>
      </w:tblGrid>
      <w:tr>
        <w:tc>
          <w:tcPr>
            <w:tcW w:type="dxa" w:w="2592"/>
            <w:shd w:fill="1a3c5e" w:color="auto" w:val="clear"/>
          </w:tcPr>
          <w:p>
            <w:r>
              <w:rPr>
                <w:rFonts w:ascii="Calibri" w:hAnsi="Calibri"/>
                <w:b/>
                <w:color w:val="FFFFFF"/>
                <w:sz w:val="18"/>
              </w:rPr>
              <w:t>Agent</w:t>
            </w:r>
          </w:p>
        </w:tc>
        <w:tc>
          <w:tcPr>
            <w:tcW w:type="dxa" w:w="6480"/>
            <w:shd w:fill="1a3c5e" w:color="auto" w:val="clear"/>
          </w:tcPr>
          <w:p>
            <w:r>
              <w:rPr>
                <w:rFonts w:ascii="Calibri" w:hAnsi="Calibri"/>
                <w:b/>
                <w:color w:val="FFFFFF"/>
                <w:sz w:val="18"/>
              </w:rPr>
              <w:t>Function</w:t>
            </w:r>
          </w:p>
        </w:tc>
      </w:tr>
      <w:tr>
        <w:tc>
          <w:tcPr>
            <w:tcW w:type="dxa" w:w="2592"/>
          </w:tcPr>
          <w:p>
            <w:r>
              <w:rPr>
                <w:rFonts w:ascii="Calibri" w:hAnsi="Calibri"/>
                <w:b w:val="0"/>
                <w:sz w:val="18"/>
              </w:rPr>
              <w:t>LEARN-ATTRIB</w:t>
            </w:r>
          </w:p>
        </w:tc>
        <w:tc>
          <w:tcPr>
            <w:tcW w:type="dxa" w:w="6480"/>
          </w:tcPr>
          <w:p>
            <w:r>
              <w:rPr>
                <w:rFonts w:ascii="Calibri" w:hAnsi="Calibri"/>
                <w:b w:val="0"/>
                <w:sz w:val="18"/>
              </w:rPr>
              <w:t>Performance attribution: hit rate, information ratio, Sharpe contribution per agent/ticker</w:t>
            </w:r>
          </w:p>
        </w:tc>
      </w:tr>
      <w:tr>
        <w:tc>
          <w:tcPr>
            <w:tcW w:type="dxa" w:w="2592"/>
          </w:tcPr>
          <w:p>
            <w:r>
              <w:rPr>
                <w:rFonts w:ascii="Calibri" w:hAnsi="Calibri"/>
                <w:b w:val="0"/>
                <w:sz w:val="18"/>
              </w:rPr>
              <w:t>LEARN-CALIB</w:t>
            </w:r>
          </w:p>
        </w:tc>
        <w:tc>
          <w:tcPr>
            <w:tcW w:type="dxa" w:w="6480"/>
          </w:tcPr>
          <w:p>
            <w:r>
              <w:rPr>
                <w:rFonts w:ascii="Calibri" w:hAnsi="Calibri"/>
                <w:b w:val="0"/>
                <w:sz w:val="18"/>
              </w:rPr>
              <w:t>Confidence calibration: Brier score, bucket analysis, overconfidence detection</w:t>
            </w:r>
          </w:p>
        </w:tc>
      </w:tr>
      <w:tr>
        <w:tc>
          <w:tcPr>
            <w:tcW w:type="dxa" w:w="2592"/>
          </w:tcPr>
          <w:p>
            <w:r>
              <w:rPr>
                <w:rFonts w:ascii="Calibri" w:hAnsi="Calibri"/>
                <w:b w:val="0"/>
                <w:sz w:val="18"/>
              </w:rPr>
              <w:t>LEARN-RETRAIN</w:t>
            </w:r>
          </w:p>
        </w:tc>
        <w:tc>
          <w:tcPr>
            <w:tcW w:type="dxa" w:w="6480"/>
          </w:tcPr>
          <w:p>
            <w:r>
              <w:rPr>
                <w:rFonts w:ascii="Calibri" w:hAnsi="Calibri"/>
                <w:b w:val="0"/>
                <w:sz w:val="18"/>
              </w:rPr>
              <w:t>Retraining recommendations with priority levels and shadow mode enforcement</w:t>
            </w:r>
          </w:p>
        </w:tc>
      </w:tr>
      <w:tr>
        <w:tc>
          <w:tcPr>
            <w:tcW w:type="dxa" w:w="2592"/>
          </w:tcPr>
          <w:p>
            <w:r>
              <w:rPr>
                <w:rFonts w:ascii="Calibri" w:hAnsi="Calibri"/>
                <w:b w:val="0"/>
                <w:sz w:val="18"/>
              </w:rPr>
              <w:t>LEARN-BACKTEST</w:t>
            </w:r>
          </w:p>
        </w:tc>
        <w:tc>
          <w:tcPr>
            <w:tcW w:type="dxa" w:w="6480"/>
          </w:tcPr>
          <w:p>
            <w:r>
              <w:rPr>
                <w:rFonts w:ascii="Calibri" w:hAnsi="Calibri"/>
                <w:b w:val="0"/>
                <w:sz w:val="18"/>
              </w:rPr>
              <w:t>Sub-period backtesting with annualized metrics and profit factor analysis</w:t>
            </w:r>
          </w:p>
        </w:tc>
      </w:tr>
    </w:tbl>
    <w:p/>
    <w:p>
      <w:pPr>
        <w:pStyle w:val="Heading2"/>
      </w:pPr>
      <w:r>
        <w:t>3.8 Governance</w:t>
      </w:r>
    </w:p>
    <w:p>
      <w:r>
        <w:rPr>
          <w:b w:val="0"/>
          <w:i w:val="0"/>
        </w:rPr>
        <w:t>Four agents provide human-in-the-loop oversight:</w:t>
      </w:r>
    </w:p>
    <w:tbl>
      <w:tblPr>
        <w:tblStyle w:val="TableGrid"/>
        <w:tblW w:type="auto" w:w="0"/>
        <w:jc w:val="center"/>
        <w:tblLook w:firstColumn="1" w:firstRow="1" w:lastColumn="0" w:lastRow="0" w:noHBand="0" w:noVBand="1" w:val="04A0"/>
      </w:tblPr>
      <w:tblGrid>
        <w:gridCol w:w="4392"/>
        <w:gridCol w:w="4392"/>
      </w:tblGrid>
      <w:tr>
        <w:tc>
          <w:tcPr>
            <w:tcW w:type="dxa" w:w="2880"/>
            <w:shd w:fill="1a3c5e" w:color="auto" w:val="clear"/>
          </w:tcPr>
          <w:p>
            <w:r>
              <w:rPr>
                <w:rFonts w:ascii="Calibri" w:hAnsi="Calibri"/>
                <w:b/>
                <w:color w:val="FFFFFF"/>
                <w:sz w:val="18"/>
              </w:rPr>
              <w:t>Agent</w:t>
            </w:r>
          </w:p>
        </w:tc>
        <w:tc>
          <w:tcPr>
            <w:tcW w:type="dxa" w:w="6192"/>
            <w:shd w:fill="1a3c5e" w:color="auto" w:val="clear"/>
          </w:tcPr>
          <w:p>
            <w:r>
              <w:rPr>
                <w:rFonts w:ascii="Calibri" w:hAnsi="Calibri"/>
                <w:b/>
                <w:color w:val="FFFFFF"/>
                <w:sz w:val="18"/>
              </w:rPr>
              <w:t>Function</w:t>
            </w:r>
          </w:p>
        </w:tc>
      </w:tr>
      <w:tr>
        <w:tc>
          <w:tcPr>
            <w:tcW w:type="dxa" w:w="2880"/>
          </w:tcPr>
          <w:p>
            <w:r>
              <w:rPr>
                <w:rFonts w:ascii="Calibri" w:hAnsi="Calibri"/>
                <w:b w:val="0"/>
                <w:sz w:val="18"/>
              </w:rPr>
              <w:t>GOVERN-CAPITAL</w:t>
            </w:r>
          </w:p>
        </w:tc>
        <w:tc>
          <w:tcPr>
            <w:tcW w:type="dxa" w:w="6192"/>
          </w:tcPr>
          <w:p>
            <w:r>
              <w:rPr>
                <w:rFonts w:ascii="Calibri" w:hAnsi="Calibri"/>
                <w:b w:val="0"/>
                <w:sz w:val="18"/>
              </w:rPr>
              <w:t>AUM tier classification with execution constraints (position limits, sector caps)</w:t>
            </w:r>
          </w:p>
        </w:tc>
      </w:tr>
      <w:tr>
        <w:tc>
          <w:tcPr>
            <w:tcW w:type="dxa" w:w="2880"/>
          </w:tcPr>
          <w:p>
            <w:r>
              <w:rPr>
                <w:rFonts w:ascii="Calibri" w:hAnsi="Calibri"/>
                <w:b w:val="0"/>
                <w:sz w:val="18"/>
              </w:rPr>
              <w:t>GOVERN-MATURITY</w:t>
            </w:r>
          </w:p>
        </w:tc>
        <w:tc>
          <w:tcPr>
            <w:tcW w:type="dxa" w:w="6192"/>
          </w:tcPr>
          <w:p>
            <w:r>
              <w:rPr>
                <w:rFonts w:ascii="Calibri" w:hAnsi="Calibri"/>
                <w:b w:val="0"/>
                <w:sz w:val="18"/>
              </w:rPr>
              <w:t>Agent deployment stage evaluation with promotion criteria (shadow → limited → full)</w:t>
            </w:r>
          </w:p>
        </w:tc>
      </w:tr>
      <w:tr>
        <w:tc>
          <w:tcPr>
            <w:tcW w:type="dxa" w:w="2880"/>
          </w:tcPr>
          <w:p>
            <w:r>
              <w:rPr>
                <w:rFonts w:ascii="Calibri" w:hAnsi="Calibri"/>
                <w:b w:val="0"/>
                <w:sz w:val="18"/>
              </w:rPr>
              <w:t>GOVERN-OVERSIGHT</w:t>
            </w:r>
          </w:p>
        </w:tc>
        <w:tc>
          <w:tcPr>
            <w:tcW w:type="dxa" w:w="6192"/>
          </w:tcPr>
          <w:p>
            <w:r>
              <w:rPr>
                <w:rFonts w:ascii="Calibri" w:hAnsi="Calibri"/>
                <w:b w:val="0"/>
                <w:sz w:val="18"/>
              </w:rPr>
              <w:t>System health aggregation with incident detection and severity classification</w:t>
            </w:r>
          </w:p>
        </w:tc>
      </w:tr>
      <w:tr>
        <w:tc>
          <w:tcPr>
            <w:tcW w:type="dxa" w:w="2880"/>
          </w:tcPr>
          <w:p>
            <w:r>
              <w:rPr>
                <w:rFonts w:ascii="Calibri" w:hAnsi="Calibri"/>
                <w:b w:val="0"/>
                <w:sz w:val="18"/>
              </w:rPr>
              <w:t>GOVERN-POLICY</w:t>
            </w:r>
          </w:p>
        </w:tc>
        <w:tc>
          <w:tcPr>
            <w:tcW w:type="dxa" w:w="6192"/>
          </w:tcPr>
          <w:p>
            <w:r>
              <w:rPr>
                <w:rFonts w:ascii="Calibri" w:hAnsi="Calibri"/>
                <w:b w:val="0"/>
                <w:sz w:val="18"/>
              </w:rPr>
              <w:t>Policy enforcement with violation detection across all subsystems</w:t>
            </w:r>
          </w:p>
        </w:tc>
      </w:tr>
    </w:tbl>
    <w:p/>
    <w:p>
      <w:r>
        <w:br w:type="page"/>
      </w:r>
    </w:p>
    <w:p>
      <w:pPr>
        <w:pStyle w:val="Heading1"/>
      </w:pPr>
      <w:r>
        <w:t>4. Core Data Model</w:t>
      </w:r>
    </w:p>
    <w:p>
      <w:r>
        <w:rPr>
          <w:b w:val="0"/>
          <w:i w:val="0"/>
        </w:rPr>
        <w:t>Providence uses a strongly-typed, immutable data model built on Pydantic v2 with frozen=True throughout. All 93 schema models are content-hashed for integrity verification and audit trails.</w:t>
      </w:r>
    </w:p>
    <w:p>
      <w:pPr>
        <w:pStyle w:val="Heading2"/>
      </w:pPr>
      <w:r>
        <w:t>4.1 MarketStateFragment</w:t>
      </w:r>
    </w:p>
    <w:p>
      <w:r>
        <w:rPr>
          <w:b w:val="0"/>
          <w:i w:val="0"/>
        </w:rPr>
        <w:t>The atomic unit of market data. Immutable, content-hashed, and typed by a registered data type enum. Fields include fragment_id (UUID), agent_id, timestamps (creation + source), data_type, entity (ticker), schema_version (SemVer), validation_status (VALID/QUARANTINED/PARTIAL), and a typed JSON payload.</w:t>
      </w:r>
    </w:p>
    <w:p>
      <w:pPr>
        <w:pStyle w:val="Heading2"/>
      </w:pPr>
      <w:r>
        <w:t>4.2 BeliefObject</w:t>
      </w:r>
    </w:p>
    <w:p>
      <w:r>
        <w:rPr>
          <w:b w:val="0"/>
          <w:i w:val="0"/>
        </w:rPr>
        <w:t>The output of every cognition agent. Contains belief_id, agent_id, context_window_hash (SHA-256 of the input fragments), and an array of individual beliefs. Each belief includes thesis_id, ticker, direction (LONG/SHORT/NEUTRAL), magnitude, raw_confidence [0.0-1.0], time horizon, evidence array, and machine-evaluable invalidation conditions.</w:t>
      </w:r>
    </w:p>
    <w:p>
      <w:pPr>
        <w:pStyle w:val="Heading2"/>
      </w:pPr>
      <w:r>
        <w:t>4.3 InvalidationCondition</w:t>
      </w:r>
    </w:p>
    <w:p>
      <w:r>
        <w:rPr>
          <w:b w:val="0"/>
          <w:i w:val="0"/>
        </w:rPr>
        <w:t>Every belief must include machine-evaluable invalidation conditions with specific metrics, operators (GT/LT/EQ/CROSSES_ABOVE/CROSSES_BELOW), and thresholds. No vague prose allowed. This enables the INVALID-MON agent to automatically detect when a thesis should be reconsidered.</w:t>
      </w:r>
    </w:p>
    <w:p>
      <w:pPr>
        <w:pStyle w:val="Heading2"/>
      </w:pPr>
      <w:r>
        <w:t>4.4 RegimeStateObject</w:t>
      </w:r>
    </w:p>
    <w:p>
      <w:r>
        <w:rPr>
          <w:b w:val="0"/>
          <w:i w:val="0"/>
        </w:rPr>
        <w:t>Captures the current market regime from both statistical and narrative perspectives. Includes statistical_regime (4-state HMM), narrative_regime (label + confidence + signals), sector_overlays (per-sector regime classification), and system_risk_mode (NORMAL/CAUTIOUS/DEFENSIVE/HALTED).</w:t>
      </w:r>
    </w:p>
    <w:p>
      <w:r>
        <w:br w:type="page"/>
      </w:r>
    </w:p>
    <w:p>
      <w:pPr>
        <w:pStyle w:val="Heading1"/>
      </w:pPr>
      <w:r>
        <w:t>5. Agent Classification &amp; Independence</w:t>
      </w:r>
    </w:p>
    <w:p>
      <w:pPr>
        <w:pStyle w:val="Heading2"/>
      </w:pPr>
      <w:r>
        <w:t>5.1 Three Agent Classes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728"/>
            <w:shd w:fill="1a3c5e" w:color="auto" w:val="clear"/>
          </w:tcPr>
          <w:p>
            <w:r>
              <w:rPr>
                <w:rFonts w:ascii="Calibri" w:hAnsi="Calibri"/>
                <w:b/>
                <w:color w:val="FFFFFF"/>
                <w:sz w:val="18"/>
              </w:rPr>
              <w:t>Class</w:t>
            </w:r>
          </w:p>
        </w:tc>
        <w:tc>
          <w:tcPr>
            <w:tcW w:type="dxa" w:w="1152"/>
            <w:shd w:fill="1a3c5e" w:color="auto" w:val="clear"/>
          </w:tcPr>
          <w:p>
            <w:r>
              <w:rPr>
                <w:rFonts w:ascii="Calibri" w:hAnsi="Calibri"/>
                <w:b/>
                <w:color w:val="FFFFFF"/>
                <w:sz w:val="18"/>
              </w:rPr>
              <w:t>Count</w:t>
            </w:r>
          </w:p>
        </w:tc>
        <w:tc>
          <w:tcPr>
            <w:tcW w:type="dxa" w:w="2160"/>
            <w:shd w:fill="1a3c5e" w:color="auto" w:val="clear"/>
          </w:tcPr>
          <w:p>
            <w:r>
              <w:rPr>
                <w:rFonts w:ascii="Calibri" w:hAnsi="Calibri"/>
                <w:b/>
                <w:color w:val="FFFFFF"/>
                <w:sz w:val="18"/>
              </w:rPr>
              <w:t>LLM Usage</w:t>
            </w:r>
          </w:p>
        </w:tc>
        <w:tc>
          <w:tcPr>
            <w:tcW w:type="dxa" w:w="4032"/>
            <w:shd w:fill="1a3c5e" w:color="auto" w:val="clear"/>
          </w:tcPr>
          <w:p>
            <w:r>
              <w:rPr>
                <w:rFonts w:ascii="Calibri" w:hAnsi="Calibri"/>
                <w:b/>
                <w:color w:val="FFFFFF"/>
                <w:sz w:val="18"/>
              </w:rPr>
              <w:t>Characteristics</w:t>
            </w:r>
          </w:p>
        </w:tc>
      </w:tr>
      <w:tr>
        <w:tc>
          <w:tcPr>
            <w:tcW w:type="dxa" w:w="1728"/>
          </w:tcPr>
          <w:p>
            <w:r>
              <w:rPr>
                <w:rFonts w:ascii="Calibri" w:hAnsi="Calibri"/>
                <w:b w:val="0"/>
                <w:sz w:val="18"/>
              </w:rPr>
              <w:t>Frozen</w:t>
            </w:r>
          </w:p>
        </w:tc>
        <w:tc>
          <w:tcPr>
            <w:tcW w:type="dxa" w:w="1152"/>
          </w:tcPr>
          <w:p>
            <w:r>
              <w:rPr>
                <w:rFonts w:ascii="Calibri" w:hAnsi="Calibri"/>
                <w:b w:val="0"/>
                <w:sz w:val="18"/>
              </w:rPr>
              <w:t>21</w:t>
            </w:r>
          </w:p>
        </w:tc>
        <w:tc>
          <w:tcPr>
            <w:tcW w:type="dxa" w:w="2160"/>
          </w:tcPr>
          <w:p>
            <w:r>
              <w:rPr>
                <w:rFonts w:ascii="Calibri" w:hAnsi="Calibri"/>
                <w:b w:val="0"/>
                <w:sz w:val="18"/>
              </w:rPr>
              <w:t>Zero</w:t>
            </w:r>
          </w:p>
        </w:tc>
        <w:tc>
          <w:tcPr>
            <w:tcW w:type="dxa" w:w="4032"/>
          </w:tcPr>
          <w:p>
            <w:r>
              <w:rPr>
                <w:rFonts w:ascii="Calibri" w:hAnsi="Calibri"/>
                <w:b w:val="0"/>
                <w:sz w:val="18"/>
              </w:rPr>
              <w:t>Pure computation. Deterministic. No API calls to LLM providers.</w:t>
            </w:r>
          </w:p>
        </w:tc>
      </w:tr>
      <w:tr>
        <w:tc>
          <w:tcPr>
            <w:tcW w:type="dxa" w:w="1728"/>
          </w:tcPr>
          <w:p>
            <w:r>
              <w:rPr>
                <w:rFonts w:ascii="Calibri" w:hAnsi="Calibri"/>
                <w:b w:val="0"/>
                <w:sz w:val="18"/>
              </w:rPr>
              <w:t>Adaptive</w:t>
            </w:r>
          </w:p>
        </w:tc>
        <w:tc>
          <w:tcPr>
            <w:tcW w:type="dxa" w:w="1152"/>
          </w:tcPr>
          <w:p>
            <w:r>
              <w:rPr>
                <w:rFonts w:ascii="Calibri" w:hAnsi="Calibri"/>
                <w:b w:val="0"/>
                <w:sz w:val="18"/>
              </w:rPr>
              <w:t>8</w:t>
            </w:r>
          </w:p>
        </w:tc>
        <w:tc>
          <w:tcPr>
            <w:tcW w:type="dxa" w:w="2160"/>
          </w:tcPr>
          <w:p>
            <w:r>
              <w:rPr>
                <w:rFonts w:ascii="Calibri" w:hAnsi="Calibri"/>
                <w:b w:val="0"/>
                <w:sz w:val="18"/>
              </w:rPr>
              <w:t>Claude Sonnet 4</w:t>
            </w:r>
          </w:p>
        </w:tc>
        <w:tc>
          <w:tcPr>
            <w:tcW w:type="dxa" w:w="4032"/>
          </w:tcPr>
          <w:p>
            <w:r>
              <w:rPr>
                <w:rFonts w:ascii="Calibri" w:hAnsi="Calibri"/>
                <w:b w:val="0"/>
                <w:sz w:val="18"/>
              </w:rPr>
              <w:t>LLM-powered reasoning. Subject to offline retraining. Version-controlled prompts.</w:t>
            </w:r>
          </w:p>
        </w:tc>
      </w:tr>
      <w:tr>
        <w:tc>
          <w:tcPr>
            <w:tcW w:type="dxa" w:w="1728"/>
          </w:tcPr>
          <w:p>
            <w:r>
              <w:rPr>
                <w:rFonts w:ascii="Calibri" w:hAnsi="Calibri"/>
                <w:b w:val="0"/>
                <w:sz w:val="18"/>
              </w:rPr>
              <w:t>Perception</w:t>
            </w:r>
          </w:p>
        </w:tc>
        <w:tc>
          <w:tcPr>
            <w:tcW w:type="dxa" w:w="1152"/>
          </w:tcPr>
          <w:p>
            <w:r>
              <w:rPr>
                <w:rFonts w:ascii="Calibri" w:hAnsi="Calibri"/>
                <w:b w:val="0"/>
                <w:sz w:val="18"/>
              </w:rPr>
              <w:t>6</w:t>
            </w:r>
          </w:p>
        </w:tc>
        <w:tc>
          <w:tcPr>
            <w:tcW w:type="dxa" w:w="2160"/>
          </w:tcPr>
          <w:p>
            <w:r>
              <w:rPr>
                <w:rFonts w:ascii="Calibri" w:hAnsi="Calibri"/>
                <w:b w:val="0"/>
                <w:sz w:val="18"/>
              </w:rPr>
              <w:t>Zero</w:t>
            </w:r>
          </w:p>
        </w:tc>
        <w:tc>
          <w:tcPr>
            <w:tcW w:type="dxa" w:w="4032"/>
          </w:tcPr>
          <w:p>
            <w:r>
              <w:rPr>
                <w:rFonts w:ascii="Calibri" w:hAnsi="Calibri"/>
                <w:b w:val="0"/>
                <w:sz w:val="18"/>
              </w:rPr>
              <w:t>External API ingestion. Rate-limited. Produces typed fragments.</w:t>
            </w:r>
          </w:p>
        </w:tc>
      </w:tr>
    </w:tbl>
    <w:p/>
    <w:p>
      <w:pPr>
        <w:pStyle w:val="Heading2"/>
      </w:pPr>
      <w:r>
        <w:t>5.2 The Independence Invariant</w:t>
      </w:r>
    </w:p>
    <w:p>
      <w:r>
        <w:rPr>
          <w:b w:val="0"/>
          <w:i w:val="0"/>
        </w:rPr>
        <w:t>The most critical architectural constraint: research agents never see each other's beliefs. This is not a guideline; it is enforced by the ContextService, which assembles each agent's context window exclusively from MarketStateFragments. The 7-step assembly process (IDENTIFY, RETRIEVE, PRIORITIZE, PEER_CONTEXT, TOKEN_BUDGET, HASH, RETURN) guarantees that no belief data leaks into any cognition agent's input.</w:t>
      </w:r>
    </w:p>
    <w:p>
      <w:r>
        <w:rPr>
          <w:b w:val="0"/>
          <w:i w:val="0"/>
        </w:rPr>
        <w:t>This independence creates genuine structured disagreement. When COGNIT-FUNDAMENTAL says LONG and COGNIT-MACRO says SHORT on the same ticker, that conflict is real: neither agent was influenced by the other. DECIDE-SYNTH must resolve this through documented conflict resolution, not consensus-seeking.</w:t>
      </w:r>
    </w:p>
    <w:p>
      <w:pPr>
        <w:pStyle w:val="Heading2"/>
      </w:pPr>
      <w:r>
        <w:t>5.3 Prompt Version Control</w:t>
      </w:r>
    </w:p>
    <w:p>
      <w:r>
        <w:rPr>
          <w:b w:val="0"/>
          <w:i w:val="0"/>
        </w:rPr>
        <w:t>All 8 adaptive agents use version-controlled YAML prompt templates stored in providence/prompts/. Each template includes system prompt, user prompt template with variable substitution, temperature setting, and expected output schema. Prompt changes are tracked in git alongside code.</w:t>
      </w:r>
    </w:p>
    <w:p>
      <w:r>
        <w:br w:type="page"/>
      </w:r>
    </w:p>
    <w:p>
      <w:pPr>
        <w:pStyle w:val="Heading1"/>
      </w:pPr>
      <w:r>
        <w:t>6. Orchestration &amp; Pipeline</w:t>
      </w:r>
    </w:p>
    <w:p>
      <w:r>
        <w:rPr>
          <w:b w:val="0"/>
          <w:i w:val="0"/>
        </w:rPr>
        <w:t>The orchestration layer coordinates agent execution with a DAG-based pipeline design. Each agent runs in an isolated PipelineStage with timeout enforcement and error containment.</w:t>
      </w:r>
    </w:p>
    <w:p>
      <w:pPr>
        <w:pStyle w:val="Heading2"/>
      </w:pPr>
      <w:r>
        <w:t>6.1 Main Trading Loop</w:t>
      </w:r>
    </w:p>
    <w:p>
      <w:r>
        <w:rPr>
          <w:b w:val="0"/>
          <w:i w:val="0"/>
        </w:rPr>
        <w:t>The main loop executes in four phases:</w:t>
      </w:r>
    </w:p>
    <w:p>
      <w:pPr>
        <w:pStyle w:val="ListBullet"/>
      </w:pPr>
      <w:r>
        <w:rPr>
          <w:b/>
        </w:rPr>
        <w:t xml:space="preserve">Phase 1 - Cognition (Parallel): </w:t>
      </w:r>
      <w:r>
        <w:t>6 agents execute simultaneously via asyncio.gather. Independent inputs, independent outputs.</w:t>
      </w:r>
    </w:p>
    <w:p>
      <w:pPr>
        <w:pStyle w:val="ListBullet"/>
      </w:pPr>
      <w:r>
        <w:rPr>
          <w:b/>
        </w:rPr>
        <w:t xml:space="preserve">Phase 2 - Regime (Parallel + Sequential): </w:t>
      </w:r>
      <w:r>
        <w:t>STAT, SECTOR, NARR run in parallel. MISMATCH runs after all three complete (needs their outputs).</w:t>
      </w:r>
    </w:p>
    <w:p>
      <w:pPr>
        <w:pStyle w:val="ListBullet"/>
      </w:pPr>
      <w:r>
        <w:rPr>
          <w:b/>
        </w:rPr>
        <w:t xml:space="preserve">Phase 3 - Decision (Sequential): </w:t>
      </w:r>
      <w:r>
        <w:t>SYNTH then OPTIM. Synthesis needs all beliefs; optimization needs synthesis output.</w:t>
      </w:r>
    </w:p>
    <w:p>
      <w:pPr>
        <w:pStyle w:val="ListBullet"/>
      </w:pPr>
      <w:r>
        <w:rPr>
          <w:b/>
        </w:rPr>
        <w:t xml:space="preserve">Phase 4 - Execution (Strictly Sequential): </w:t>
      </w:r>
      <w:r>
        <w:t>VALIDATE → ROUTER → GUARDIAN → CAPTURE. Each step depends on the previous. No parallelism. Deterministic and auditable.</w:t>
      </w:r>
    </w:p>
    <w:p>
      <w:pPr>
        <w:pStyle w:val="Heading2"/>
      </w:pPr>
      <w:r>
        <w:t>6.2 Error Isolation</w:t>
      </w:r>
    </w:p>
    <w:p>
      <w:r>
        <w:rPr>
          <w:b w:val="0"/>
          <w:i w:val="0"/>
        </w:rPr>
        <w:t>Each PipelineStage catches exceptions and converts them to StageResult(status=FAILED). Failed stages do not crash the pipeline. Independent stages continue normally. Dependent stages are marked SKIPPED. The PipelineRun status reflects the overall outcome: SUCCEEDED (all pass), PARTIAL_FAILURE (some fail), or FAILED (critical stage fails).</w:t>
      </w:r>
    </w:p>
    <w:p>
      <w:pPr>
        <w:pStyle w:val="Heading2"/>
      </w:pPr>
      <w:r>
        <w:t>6.3 ProvidenceRunner</w:t>
      </w:r>
    </w:p>
    <w:p>
      <w:r>
        <w:rPr>
          <w:b w:val="0"/>
          <w:i w:val="0"/>
        </w:rPr>
        <w:t>The top-level entry point supports three execution modes: run_once (single cycle), run_continuous (scheduled loop with configurable interval), and run_learning_batch (offline analysis). Graceful shutdown via asyncio.Event. All runs are persisted to RunStore with full stage-level timing and error details.</w:t>
      </w:r>
    </w:p>
    <w:p>
      <w:r>
        <w:br w:type="page"/>
      </w:r>
    </w:p>
    <w:p>
      <w:pPr>
        <w:pStyle w:val="Heading1"/>
      </w:pPr>
      <w:r>
        <w:t>7. Portfolio Management &amp; Execution</w:t>
      </w:r>
    </w:p>
    <w:p>
      <w:pPr>
        <w:pStyle w:val="Heading2"/>
      </w:pPr>
      <w:r>
        <w:t>7.1 Broker Integration</w:t>
      </w:r>
    </w:p>
    <w:p>
      <w:r>
        <w:rPr>
          <w:b w:val="0"/>
          <w:i w:val="0"/>
        </w:rPr>
        <w:t>Providence integrates with Alpaca Markets for order execution. The AlpacaClient supports paper and live trading modes, with paper mode as the default. Features include order submission with retry logic and exponential backoff, position management, portfolio history, and market clock awareness.</w:t>
      </w:r>
    </w:p>
    <w:p>
      <w:pPr>
        <w:pStyle w:val="Heading2"/>
      </w:pPr>
      <w:r>
        <w:t>7.2 Position Lifecycle</w:t>
      </w:r>
    </w:p>
    <w:p>
      <w:r>
        <w:rPr>
          <w:b w:val="0"/>
          <w:i w:val="0"/>
        </w:rPr>
        <w:t>The PortfolioTracker maintains real-time position and P&amp;L state:</w:t>
      </w:r>
    </w:p>
    <w:p>
      <w:pPr>
        <w:pStyle w:val="ListBullet"/>
      </w:pPr>
      <w:r>
        <w:t>Position tracking: quantity, entry/current price, unrealized/realized P&amp;L, weight, sector, days held</w:t>
      </w:r>
    </w:p>
    <w:p>
      <w:pPr>
        <w:pStyle w:val="ListBullet"/>
      </w:pPr>
      <w:r>
        <w:t>Portfolio snapshots: equity, cash, gross/net/sector exposure, drawdown from peak</w:t>
      </w:r>
    </w:p>
    <w:p>
      <w:pPr>
        <w:pStyle w:val="ListBullet"/>
      </w:pPr>
      <w:r>
        <w:t>Broker synchronization: reconciliation between internal state and broker positions</w:t>
      </w:r>
    </w:p>
    <w:p>
      <w:pPr>
        <w:pStyle w:val="Heading2"/>
      </w:pPr>
      <w:r>
        <w:t>7.3 Trailing Stop (EXEC-CAPTURE)</w:t>
      </w:r>
    </w:p>
    <w:p>
      <w:pPr>
        <w:spacing w:after="80"/>
      </w:pPr>
      <w:r>
        <w:rPr>
          <w:b w:val="0"/>
          <w:i w:val="0"/>
        </w:rPr>
        <w:t>The trailing stop is the system's supreme exit mechanism:</w:t>
      </w:r>
    </w:p>
    <w:p>
      <w:pPr>
        <w:pStyle w:val="ListBullet"/>
      </w:pPr>
      <w:r>
        <w:rPr>
          <w:b/>
        </w:rPr>
        <w:t xml:space="preserve">Activation: </w:t>
      </w:r>
      <w:r>
        <w:t>When unrealized P&amp;L exceeds 2.0x expected return</w:t>
      </w:r>
    </w:p>
    <w:p>
      <w:pPr>
        <w:pStyle w:val="ListBullet"/>
      </w:pPr>
      <w:r>
        <w:rPr>
          <w:b/>
        </w:rPr>
        <w:t xml:space="preserve">Trail Distance: </w:t>
      </w:r>
      <w:r>
        <w:t>30% in NORMAL mode, 20% in CAUTIOUS/DEFENSIVE</w:t>
      </w:r>
    </w:p>
    <w:p>
      <w:pPr>
        <w:pStyle w:val="ListBullet"/>
      </w:pPr>
      <w:r>
        <w:rPr>
          <w:b/>
        </w:rPr>
        <w:t xml:space="preserve">Hard Giveback: </w:t>
      </w:r>
      <w:r>
        <w:t>If peak-to-current drawdown exceeds 50%, immediate close</w:t>
      </w:r>
    </w:p>
    <w:p>
      <w:pPr>
        <w:pStyle w:val="ListBullet"/>
      </w:pPr>
      <w:r>
        <w:rPr>
          <w:b/>
        </w:rPr>
        <w:t xml:space="preserve">3-Stage Trim: </w:t>
      </w:r>
      <w:r>
        <w:t>Maximum 3 trim stages per position. trim_pct applies to REMAINING, not original. After stage 2, mandatory close.</w:t>
      </w:r>
    </w:p>
    <w:p>
      <w:pPr>
        <w:pStyle w:val="ListBullet"/>
      </w:pPr>
      <w:r>
        <w:rPr>
          <w:b/>
        </w:rPr>
        <w:t xml:space="preserve">Minimum Hold: </w:t>
      </w:r>
      <w:r>
        <w:t>5 days before exit consideration</w:t>
      </w:r>
    </w:p>
    <w:p>
      <w:r>
        <w:br w:type="page"/>
      </w:r>
    </w:p>
    <w:p>
      <w:pPr>
        <w:pStyle w:val="Heading1"/>
      </w:pPr>
      <w:r>
        <w:t>8. Risk Management Framework</w:t>
      </w:r>
    </w:p>
    <w:p>
      <w:pPr>
        <w:pStyle w:val="Heading2"/>
      </w:pPr>
      <w:r>
        <w:t>8.1 Multi-Layer Defense</w:t>
      </w:r>
    </w:p>
    <w:p>
      <w:r>
        <w:rPr>
          <w:b w:val="0"/>
          <w:i w:val="0"/>
        </w:rPr>
        <w:t>Risk management operates at four layers:</w:t>
      </w:r>
    </w:p>
    <w:p>
      <w:pPr>
        <w:pStyle w:val="ListBullet"/>
      </w:pPr>
      <w:r>
        <w:rPr>
          <w:b/>
        </w:rPr>
        <w:t xml:space="preserve">Agent Level: </w:t>
      </w:r>
      <w:r>
        <w:t>Each belief includes confidence bounds, time horizons, and machine-evaluable invalidation conditions.</w:t>
      </w:r>
    </w:p>
    <w:p>
      <w:pPr>
        <w:pStyle w:val="ListBullet"/>
      </w:pPr>
      <w:r>
        <w:rPr>
          <w:b/>
        </w:rPr>
        <w:t xml:space="preserve">Regime Level: </w:t>
      </w:r>
      <w:r>
        <w:t>The regime system dynamically adjusts risk mode. CAUTIOUS reduces position sizes and tightens stops. DEFENSIVE further restricts. HALTED stops all trading.</w:t>
      </w:r>
    </w:p>
    <w:p>
      <w:pPr>
        <w:pStyle w:val="ListBullet"/>
      </w:pPr>
      <w:r>
        <w:rPr>
          <w:b/>
        </w:rPr>
        <w:t xml:space="preserve">Portfolio Level: </w:t>
      </w:r>
      <w:r>
        <w:t>Black-Litterman optimization enforces sector concentration limits, gross/net exposure bounds, and position size constraints based on capital tier.</w:t>
      </w:r>
    </w:p>
    <w:p>
      <w:pPr>
        <w:pStyle w:val="ListBullet"/>
      </w:pPr>
      <w:r>
        <w:rPr>
          <w:b/>
        </w:rPr>
        <w:t xml:space="preserve">Execution Level: </w:t>
      </w:r>
      <w:r>
        <w:t>EXEC-VALIDATE checks every proposal against regime-mode constraints. EXEC-GUARDIAN provides kill switch and circuit breakers. EXEC-CAPTURE manages trailing stops.</w:t>
      </w:r>
    </w:p>
    <w:p>
      <w:pPr>
        <w:pStyle w:val="Heading2"/>
      </w:pPr>
      <w:r>
        <w:t>8.2 Capital Tier Constraints</w:t>
      </w:r>
    </w:p>
    <w:p>
      <w:r>
        <w:rPr>
          <w:b w:val="0"/>
          <w:i w:val="0"/>
        </w:rPr>
        <w:t>GOVERN-CAPITAL classifies the fund by AUM tier, applying progressively tighter constraints at lower tiers. Constraints include maximum position count, sector concentration limits, minimum diversification requirements, and execution strategy restrictions.</w:t>
      </w:r>
    </w:p>
    <w:p>
      <w:pPr>
        <w:pStyle w:val="Heading2"/>
      </w:pPr>
      <w:r>
        <w:t>8.3 Agent Maturity Gates</w:t>
      </w:r>
    </w:p>
    <w:p>
      <w:r>
        <w:rPr>
          <w:b w:val="0"/>
          <w:i w:val="0"/>
        </w:rPr>
        <w:t>GOVERN-MATURITY enforces a three-stage deployment pipeline for all agents: Shadow (observing only, no live impact), Limited (partial allocation, monitored), and Full (unrestricted). Promotion requires minimum observation periods and performance thresholds.</w:t>
      </w:r>
    </w:p>
    <w:p>
      <w:r>
        <w:br w:type="page"/>
      </w:r>
    </w:p>
    <w:p>
      <w:pPr>
        <w:pStyle w:val="Heading1"/>
      </w:pPr>
      <w:r>
        <w:t>9. Security Architecture</w:t>
      </w:r>
    </w:p>
    <w:p>
      <w:pPr>
        <w:pStyle w:val="Heading2"/>
      </w:pPr>
      <w:r>
        <w:t>9.1 API Security</w:t>
      </w:r>
    </w:p>
    <w:p>
      <w:pPr>
        <w:pStyle w:val="ListBullet"/>
      </w:pPr>
      <w:r>
        <w:rPr>
          <w:b/>
        </w:rPr>
        <w:t xml:space="preserve">Authentication: </w:t>
      </w:r>
      <w:r>
        <w:t>API key authentication via X-API-Key header, with exempt health probe endpoints.</w:t>
      </w:r>
    </w:p>
    <w:p>
      <w:pPr>
        <w:pStyle w:val="ListBullet"/>
      </w:pPr>
      <w:r>
        <w:rPr>
          <w:b/>
        </w:rPr>
        <w:t xml:space="preserve">Rate Limiting: </w:t>
      </w:r>
      <w:r>
        <w:t>Dual-layer rate limiting: nginx (30 req/s general, 2 req/min pipeline triggers) and application-level (100 GET/min, 5 POST/min per IP).</w:t>
      </w:r>
    </w:p>
    <w:p>
      <w:pPr>
        <w:pStyle w:val="ListBullet"/>
      </w:pPr>
      <w:r>
        <w:rPr>
          <w:b/>
        </w:rPr>
        <w:t xml:space="preserve">Error Sanitization: </w:t>
      </w:r>
      <w:r>
        <w:t>All error responses are scrubbed of credentials (API keys, Bearer tokens, AWS keys, database connection strings) before reaching clients.</w:t>
      </w:r>
    </w:p>
    <w:p>
      <w:pPr>
        <w:pStyle w:val="ListBullet"/>
      </w:pPr>
      <w:r>
        <w:rPr>
          <w:b/>
        </w:rPr>
        <w:t xml:space="preserve">Input Validation: </w:t>
      </w:r>
      <w:r>
        <w:t>Query parameters validated against known enum sets. Error responses never echo user input.</w:t>
      </w:r>
    </w:p>
    <w:p>
      <w:pPr>
        <w:pStyle w:val="ListBullet"/>
      </w:pPr>
      <w:r>
        <w:rPr>
          <w:b/>
        </w:rPr>
        <w:t xml:space="preserve">CORS: </w:t>
      </w:r>
      <w:r>
        <w:t>Restrictive CORS in production mode. No wildcard origins.</w:t>
      </w:r>
    </w:p>
    <w:p>
      <w:pPr>
        <w:pStyle w:val="Heading2"/>
      </w:pPr>
      <w:r>
        <w:t>9.2 Infrastructure Security</w:t>
      </w:r>
    </w:p>
    <w:p>
      <w:pPr>
        <w:pStyle w:val="ListBullet"/>
      </w:pPr>
      <w:r>
        <w:t>TLS 1.2/1.3 enforced via nginx with HTTP-to-HTTPS redirect</w:t>
      </w:r>
    </w:p>
    <w:p>
      <w:pPr>
        <w:pStyle w:val="ListBullet"/>
      </w:pPr>
      <w:r>
        <w:t>Security headers: HSTS, X-Frame-Options DENY, X-Content-Type-Options nosniff</w:t>
      </w:r>
    </w:p>
    <w:p>
      <w:pPr>
        <w:pStyle w:val="ListBullet"/>
      </w:pPr>
      <w:r>
        <w:t>Non-root Docker containers with minimal base images</w:t>
      </w:r>
    </w:p>
    <w:p>
      <w:pPr>
        <w:pStyle w:val="ListBullet"/>
      </w:pPr>
      <w:r>
        <w:t>.dockerignore prevents secrets, tests, and documentation from entering images</w:t>
      </w:r>
    </w:p>
    <w:p>
      <w:pPr>
        <w:pStyle w:val="ListBullet"/>
      </w:pPr>
      <w:r>
        <w:t>nginx server_tokens off to prevent version fingerprinting</w:t>
      </w:r>
    </w:p>
    <w:p>
      <w:r>
        <w:br w:type="page"/>
      </w:r>
    </w:p>
    <w:p>
      <w:pPr>
        <w:pStyle w:val="Heading1"/>
      </w:pPr>
      <w:r>
        <w:t>10. Deployment &amp; Operations</w:t>
      </w:r>
    </w:p>
    <w:p>
      <w:pPr>
        <w:pStyle w:val="Heading2"/>
      </w:pPr>
      <w:r>
        <w:t>10.1 Container Architecture</w:t>
      </w:r>
    </w:p>
    <w:p>
      <w:r>
        <w:rPr>
          <w:b w:val="0"/>
          <w:i w:val="0"/>
        </w:rPr>
        <w:t>Multi-stage Dockerfile with separate targets for API server and pipeline runner. Docker Compose orchestrates 5 services: API (FastAPI, always running), Runner (continuous pipeline), Run-Once (manual trigger), Learning (offline batch), and nginx (production TLS proxy).</w:t>
      </w:r>
    </w:p>
    <w:p>
      <w:pPr>
        <w:pStyle w:val="Heading2"/>
      </w:pPr>
      <w:r>
        <w:t>10.2 CI/CD Pipeline</w:t>
      </w:r>
    </w:p>
    <w:p>
      <w:r>
        <w:rPr>
          <w:b w:val="0"/>
          <w:i w:val="0"/>
        </w:rPr>
        <w:t>GitHub Actions workflow with 4 stages: lint (ruff), unit tests (pytest + coverage), integration tests, and Docker build verification. Deployment to production requires all stages green and is restricted to the main branch.</w:t>
      </w:r>
    </w:p>
    <w:p>
      <w:pPr>
        <w:pStyle w:val="Heading2"/>
      </w:pPr>
      <w:r>
        <w:t>10.3 Monitoring</w:t>
      </w:r>
    </w:p>
    <w:p>
      <w:r>
        <w:rPr>
          <w:b w:val="0"/>
          <w:i w:val="0"/>
        </w:rPr>
        <w:t>Zero-dependency monitoring script performs 6 health checks: liveness probe, readiness probe, system health assessment, pipeline statistics, fragment store stats, and belief store stats. Outputs structured JSON lines for log aggregation (ELK, CloudWatch). Supports continuous polling with configurable intervals.</w:t>
      </w:r>
    </w:p>
    <w:p>
      <w:r>
        <w:br w:type="page"/>
      </w:r>
    </w:p>
    <w:p>
      <w:pPr>
        <w:pStyle w:val="Heading1"/>
      </w:pPr>
      <w:r>
        <w:t>11. Testing &amp; Quality Assurance</w:t>
      </w:r>
    </w:p>
    <w:p>
      <w:r>
        <w:rPr>
          <w:b w:val="0"/>
          <w:i w:val="0"/>
        </w:rPr>
        <w:t>The test suite mirrors the source structure and covers unit, integration, and security testing:</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fill="1a3c5e" w:color="auto" w:val="clear"/>
          </w:tcPr>
          <w:p>
            <w:r>
              <w:rPr>
                <w:rFonts w:ascii="Calibri" w:hAnsi="Calibri"/>
                <w:b/>
                <w:color w:val="FFFFFF"/>
                <w:sz w:val="18"/>
              </w:rPr>
              <w:t>Category</w:t>
            </w:r>
          </w:p>
        </w:tc>
        <w:tc>
          <w:tcPr>
            <w:tcW w:type="dxa" w:w="1152"/>
            <w:shd w:fill="1a3c5e" w:color="auto" w:val="clear"/>
          </w:tcPr>
          <w:p>
            <w:r>
              <w:rPr>
                <w:rFonts w:ascii="Calibri" w:hAnsi="Calibri"/>
                <w:b/>
                <w:color w:val="FFFFFF"/>
                <w:sz w:val="18"/>
              </w:rPr>
              <w:t>Tests</w:t>
            </w:r>
          </w:p>
        </w:tc>
        <w:tc>
          <w:tcPr>
            <w:tcW w:type="dxa" w:w="5040"/>
            <w:shd w:fill="1a3c5e" w:color="auto" w:val="clear"/>
          </w:tcPr>
          <w:p>
            <w:r>
              <w:rPr>
                <w:rFonts w:ascii="Calibri" w:hAnsi="Calibri"/>
                <w:b/>
                <w:color w:val="FFFFFF"/>
                <w:sz w:val="18"/>
              </w:rPr>
              <w:t>Coverage</w:t>
            </w:r>
          </w:p>
        </w:tc>
      </w:tr>
      <w:tr>
        <w:tc>
          <w:tcPr>
            <w:tcW w:type="dxa" w:w="2880"/>
          </w:tcPr>
          <w:p>
            <w:r>
              <w:rPr>
                <w:rFonts w:ascii="Calibri" w:hAnsi="Calibri"/>
                <w:b w:val="0"/>
                <w:sz w:val="18"/>
              </w:rPr>
              <w:t>Schema Validation</w:t>
            </w:r>
          </w:p>
        </w:tc>
        <w:tc>
          <w:tcPr>
            <w:tcW w:type="dxa" w:w="1152"/>
          </w:tcPr>
          <w:p>
            <w:r>
              <w:rPr>
                <w:rFonts w:ascii="Calibri" w:hAnsi="Calibri"/>
                <w:b w:val="0"/>
                <w:sz w:val="18"/>
              </w:rPr>
              <w:t>~200</w:t>
            </w:r>
          </w:p>
        </w:tc>
        <w:tc>
          <w:tcPr>
            <w:tcW w:type="dxa" w:w="5040"/>
          </w:tcPr>
          <w:p>
            <w:r>
              <w:rPr>
                <w:rFonts w:ascii="Calibri" w:hAnsi="Calibri"/>
                <w:b w:val="0"/>
                <w:sz w:val="18"/>
              </w:rPr>
              <w:t>All 93 models: immutability, content hashing, boundary values</w:t>
            </w:r>
          </w:p>
        </w:tc>
      </w:tr>
      <w:tr>
        <w:tc>
          <w:tcPr>
            <w:tcW w:type="dxa" w:w="2880"/>
          </w:tcPr>
          <w:p>
            <w:r>
              <w:rPr>
                <w:rFonts w:ascii="Calibri" w:hAnsi="Calibri"/>
                <w:b w:val="0"/>
                <w:sz w:val="18"/>
              </w:rPr>
              <w:t>Agent Unit Tests</w:t>
            </w:r>
          </w:p>
        </w:tc>
        <w:tc>
          <w:tcPr>
            <w:tcW w:type="dxa" w:w="1152"/>
          </w:tcPr>
          <w:p>
            <w:r>
              <w:rPr>
                <w:rFonts w:ascii="Calibri" w:hAnsi="Calibri"/>
                <w:b w:val="0"/>
                <w:sz w:val="18"/>
              </w:rPr>
              <w:t>~800</w:t>
            </w:r>
          </w:p>
        </w:tc>
        <w:tc>
          <w:tcPr>
            <w:tcW w:type="dxa" w:w="5040"/>
          </w:tcPr>
          <w:p>
            <w:r>
              <w:rPr>
                <w:rFonts w:ascii="Calibri" w:hAnsi="Calibri"/>
                <w:b w:val="0"/>
                <w:sz w:val="18"/>
              </w:rPr>
              <w:t>All 35 agents: happy path, error handling, edge cases</w:t>
            </w:r>
          </w:p>
        </w:tc>
      </w:tr>
      <w:tr>
        <w:tc>
          <w:tcPr>
            <w:tcW w:type="dxa" w:w="2880"/>
          </w:tcPr>
          <w:p>
            <w:r>
              <w:rPr>
                <w:rFonts w:ascii="Calibri" w:hAnsi="Calibri"/>
                <w:b w:val="0"/>
                <w:sz w:val="18"/>
              </w:rPr>
              <w:t>Orchestration</w:t>
            </w:r>
          </w:p>
        </w:tc>
        <w:tc>
          <w:tcPr>
            <w:tcW w:type="dxa" w:w="1152"/>
          </w:tcPr>
          <w:p>
            <w:r>
              <w:rPr>
                <w:rFonts w:ascii="Calibri" w:hAnsi="Calibri"/>
                <w:b w:val="0"/>
                <w:sz w:val="18"/>
              </w:rPr>
              <w:t>~100</w:t>
            </w:r>
          </w:p>
        </w:tc>
        <w:tc>
          <w:tcPr>
            <w:tcW w:type="dxa" w:w="5040"/>
          </w:tcPr>
          <w:p>
            <w:r>
              <w:rPr>
                <w:rFonts w:ascii="Calibri" w:hAnsi="Calibri"/>
                <w:b w:val="0"/>
                <w:sz w:val="18"/>
              </w:rPr>
              <w:t>Pipeline execution, timeout, error isolation, metadata flow</w:t>
            </w:r>
          </w:p>
        </w:tc>
      </w:tr>
      <w:tr>
        <w:tc>
          <w:tcPr>
            <w:tcW w:type="dxa" w:w="2880"/>
          </w:tcPr>
          <w:p>
            <w:r>
              <w:rPr>
                <w:rFonts w:ascii="Calibri" w:hAnsi="Calibri"/>
                <w:b w:val="0"/>
                <w:sz w:val="18"/>
              </w:rPr>
              <w:t>Storage</w:t>
            </w:r>
          </w:p>
        </w:tc>
        <w:tc>
          <w:tcPr>
            <w:tcW w:type="dxa" w:w="1152"/>
          </w:tcPr>
          <w:p>
            <w:r>
              <w:rPr>
                <w:rFonts w:ascii="Calibri" w:hAnsi="Calibri"/>
                <w:b w:val="0"/>
                <w:sz w:val="18"/>
              </w:rPr>
              <w:t>~80</w:t>
            </w:r>
          </w:p>
        </w:tc>
        <w:tc>
          <w:tcPr>
            <w:tcW w:type="dxa" w:w="5040"/>
          </w:tcPr>
          <w:p>
            <w:r>
              <w:rPr>
                <w:rFonts w:ascii="Calibri" w:hAnsi="Calibri"/>
                <w:b w:val="0"/>
                <w:sz w:val="18"/>
              </w:rPr>
              <w:t>Fragment/Belief/Run stores: CRUD, persistence, deduplication</w:t>
            </w:r>
          </w:p>
        </w:tc>
      </w:tr>
      <w:tr>
        <w:tc>
          <w:tcPr>
            <w:tcW w:type="dxa" w:w="2880"/>
          </w:tcPr>
          <w:p>
            <w:r>
              <w:rPr>
                <w:rFonts w:ascii="Calibri" w:hAnsi="Calibri"/>
                <w:b w:val="0"/>
                <w:sz w:val="18"/>
              </w:rPr>
              <w:t>API Routes</w:t>
            </w:r>
          </w:p>
        </w:tc>
        <w:tc>
          <w:tcPr>
            <w:tcW w:type="dxa" w:w="1152"/>
          </w:tcPr>
          <w:p>
            <w:r>
              <w:rPr>
                <w:rFonts w:ascii="Calibri" w:hAnsi="Calibri"/>
                <w:b w:val="0"/>
                <w:sz w:val="18"/>
              </w:rPr>
              <w:t>~60</w:t>
            </w:r>
          </w:p>
        </w:tc>
        <w:tc>
          <w:tcPr>
            <w:tcW w:type="dxa" w:w="5040"/>
          </w:tcPr>
          <w:p>
            <w:r>
              <w:rPr>
                <w:rFonts w:ascii="Calibri" w:hAnsi="Calibri"/>
                <w:b w:val="0"/>
                <w:sz w:val="18"/>
              </w:rPr>
              <w:t>All 17 endpoints: validation, error responses, auth</w:t>
            </w:r>
          </w:p>
        </w:tc>
      </w:tr>
      <w:tr>
        <w:tc>
          <w:tcPr>
            <w:tcW w:type="dxa" w:w="2880"/>
          </w:tcPr>
          <w:p>
            <w:r>
              <w:rPr>
                <w:rFonts w:ascii="Calibri" w:hAnsi="Calibri"/>
                <w:b w:val="0"/>
                <w:sz w:val="18"/>
              </w:rPr>
              <w:t>Security</w:t>
            </w:r>
          </w:p>
        </w:tc>
        <w:tc>
          <w:tcPr>
            <w:tcW w:type="dxa" w:w="1152"/>
          </w:tcPr>
          <w:p>
            <w:r>
              <w:rPr>
                <w:rFonts w:ascii="Calibri" w:hAnsi="Calibri"/>
                <w:b w:val="0"/>
                <w:sz w:val="18"/>
              </w:rPr>
              <w:t>~15</w:t>
            </w:r>
          </w:p>
        </w:tc>
        <w:tc>
          <w:tcPr>
            <w:tcW w:type="dxa" w:w="5040"/>
          </w:tcPr>
          <w:p>
            <w:r>
              <w:rPr>
                <w:rFonts w:ascii="Calibri" w:hAnsi="Calibri"/>
                <w:b w:val="0"/>
                <w:sz w:val="18"/>
              </w:rPr>
              <w:t>Credential sanitization, CORS, input validation, response safety</w:t>
            </w:r>
          </w:p>
        </w:tc>
      </w:tr>
      <w:tr>
        <w:tc>
          <w:tcPr>
            <w:tcW w:type="dxa" w:w="2880"/>
          </w:tcPr>
          <w:p>
            <w:r>
              <w:rPr>
                <w:rFonts w:ascii="Calibri" w:hAnsi="Calibri"/>
                <w:b w:val="0"/>
                <w:sz w:val="18"/>
              </w:rPr>
              <w:t>Integration</w:t>
            </w:r>
          </w:p>
        </w:tc>
        <w:tc>
          <w:tcPr>
            <w:tcW w:type="dxa" w:w="1152"/>
          </w:tcPr>
          <w:p>
            <w:r>
              <w:rPr>
                <w:rFonts w:ascii="Calibri" w:hAnsi="Calibri"/>
                <w:b w:val="0"/>
                <w:sz w:val="18"/>
              </w:rPr>
              <w:t>~100</w:t>
            </w:r>
          </w:p>
        </w:tc>
        <w:tc>
          <w:tcPr>
            <w:tcW w:type="dxa" w:w="5040"/>
          </w:tcPr>
          <w:p>
            <w:r>
              <w:rPr>
                <w:rFonts w:ascii="Calibri" w:hAnsi="Calibri"/>
                <w:b w:val="0"/>
                <w:sz w:val="18"/>
              </w:rPr>
              <w:t>Full pipeline cycles, storage roundtrips, multi-cycle analytics</w:t>
            </w:r>
          </w:p>
        </w:tc>
      </w:tr>
      <w:tr>
        <w:tc>
          <w:tcPr>
            <w:tcW w:type="dxa" w:w="2880"/>
          </w:tcPr>
          <w:p>
            <w:r>
              <w:rPr>
                <w:rFonts w:ascii="Calibri" w:hAnsi="Calibri"/>
                <w:b w:val="0"/>
                <w:sz w:val="18"/>
              </w:rPr>
              <w:t>Infrastructure</w:t>
            </w:r>
          </w:p>
        </w:tc>
        <w:tc>
          <w:tcPr>
            <w:tcW w:type="dxa" w:w="1152"/>
          </w:tcPr>
          <w:p>
            <w:r>
              <w:rPr>
                <w:rFonts w:ascii="Calibri" w:hAnsi="Calibri"/>
                <w:b w:val="0"/>
                <w:sz w:val="18"/>
              </w:rPr>
              <w:t>~200</w:t>
            </w:r>
          </w:p>
        </w:tc>
        <w:tc>
          <w:tcPr>
            <w:tcW w:type="dxa" w:w="5040"/>
          </w:tcPr>
          <w:p>
            <w:r>
              <w:rPr>
                <w:rFonts w:ascii="Calibri" w:hAnsi="Calibri"/>
                <w:b w:val="0"/>
                <w:sz w:val="18"/>
              </w:rPr>
              <w:t>API clients, retry logic, rate limiting, portfolio tracker</w:t>
            </w:r>
          </w:p>
        </w:tc>
      </w:tr>
    </w:tbl>
    <w:p/>
    <w:p>
      <w:r>
        <w:rPr>
          <w:b w:val="0"/>
          <w:i/>
          <w:sz w:val="20"/>
        </w:rPr>
        <w:t>All tests are guarded with pytest.importorskip() for optional dependencies (fastapi, httpx), enabling the core test suite to run in minimal environments.</w:t>
      </w:r>
    </w:p>
    <w:p>
      <w:r>
        <w:br w:type="page"/>
      </w:r>
    </w:p>
    <w:p>
      <w:pPr>
        <w:pStyle w:val="Heading1"/>
      </w:pPr>
      <w:r>
        <w:t>12. Performance Characteristics</w:t>
      </w:r>
    </w:p>
    <w:p>
      <w:pPr>
        <w:pStyle w:val="Heading2"/>
      </w:pPr>
      <w:r>
        <w:t>12.1 Pipeline Timing</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fill="1a3c5e" w:color="auto" w:val="clear"/>
          </w:tcPr>
          <w:p>
            <w:r>
              <w:rPr>
                <w:rFonts w:ascii="Calibri" w:hAnsi="Calibri"/>
                <w:b/>
                <w:color w:val="FFFFFF"/>
                <w:sz w:val="18"/>
              </w:rPr>
              <w:t>Phase</w:t>
            </w:r>
          </w:p>
        </w:tc>
        <w:tc>
          <w:tcPr>
            <w:tcW w:type="dxa" w:w="3168"/>
            <w:shd w:fill="1a3c5e" w:color="auto" w:val="clear"/>
          </w:tcPr>
          <w:p>
            <w:r>
              <w:rPr>
                <w:rFonts w:ascii="Calibri" w:hAnsi="Calibri"/>
                <w:b/>
                <w:color w:val="FFFFFF"/>
                <w:sz w:val="18"/>
              </w:rPr>
              <w:t>Parallelism</w:t>
            </w:r>
          </w:p>
        </w:tc>
        <w:tc>
          <w:tcPr>
            <w:tcW w:type="dxa" w:w="3024"/>
            <w:shd w:fill="1a3c5e" w:color="auto" w:val="clear"/>
          </w:tcPr>
          <w:p>
            <w:r>
              <w:rPr>
                <w:rFonts w:ascii="Calibri" w:hAnsi="Calibri"/>
                <w:b/>
                <w:color w:val="FFFFFF"/>
                <w:sz w:val="18"/>
              </w:rPr>
              <w:t>Expected Duration</w:t>
            </w:r>
          </w:p>
        </w:tc>
      </w:tr>
      <w:tr>
        <w:tc>
          <w:tcPr>
            <w:tcW w:type="dxa" w:w="2880"/>
          </w:tcPr>
          <w:p>
            <w:r>
              <w:rPr>
                <w:rFonts w:ascii="Calibri" w:hAnsi="Calibri"/>
                <w:b w:val="0"/>
                <w:sz w:val="18"/>
              </w:rPr>
              <w:t>Perception (6 agents)</w:t>
            </w:r>
          </w:p>
        </w:tc>
        <w:tc>
          <w:tcPr>
            <w:tcW w:type="dxa" w:w="3168"/>
          </w:tcPr>
          <w:p>
            <w:r>
              <w:rPr>
                <w:rFonts w:ascii="Calibri" w:hAnsi="Calibri"/>
                <w:b w:val="0"/>
                <w:sz w:val="18"/>
              </w:rPr>
              <w:t>Sequential (rate-limited)</w:t>
            </w:r>
          </w:p>
        </w:tc>
        <w:tc>
          <w:tcPr>
            <w:tcW w:type="dxa" w:w="3024"/>
          </w:tcPr>
          <w:p>
            <w:r>
              <w:rPr>
                <w:rFonts w:ascii="Calibri" w:hAnsi="Calibri"/>
                <w:b w:val="0"/>
                <w:sz w:val="18"/>
              </w:rPr>
              <w:t>~30-60s per ticker</w:t>
            </w:r>
          </w:p>
        </w:tc>
      </w:tr>
      <w:tr>
        <w:tc>
          <w:tcPr>
            <w:tcW w:type="dxa" w:w="2880"/>
          </w:tcPr>
          <w:p>
            <w:r>
              <w:rPr>
                <w:rFonts w:ascii="Calibri" w:hAnsi="Calibri"/>
                <w:b w:val="0"/>
                <w:sz w:val="18"/>
              </w:rPr>
              <w:t>Cognition (6 parallel)</w:t>
            </w:r>
          </w:p>
        </w:tc>
        <w:tc>
          <w:tcPr>
            <w:tcW w:type="dxa" w:w="3168"/>
          </w:tcPr>
          <w:p>
            <w:r>
              <w:rPr>
                <w:rFonts w:ascii="Calibri" w:hAnsi="Calibri"/>
                <w:b w:val="0"/>
                <w:sz w:val="18"/>
              </w:rPr>
              <w:t>Full parallel via asyncio.gather</w:t>
            </w:r>
          </w:p>
        </w:tc>
        <w:tc>
          <w:tcPr>
            <w:tcW w:type="dxa" w:w="3024"/>
          </w:tcPr>
          <w:p>
            <w:r>
              <w:rPr>
                <w:rFonts w:ascii="Calibri" w:hAnsi="Calibri"/>
                <w:b w:val="0"/>
                <w:sz w:val="18"/>
              </w:rPr>
              <w:t>~5-15s (LLM latency bound)</w:t>
            </w:r>
          </w:p>
        </w:tc>
      </w:tr>
      <w:tr>
        <w:tc>
          <w:tcPr>
            <w:tcW w:type="dxa" w:w="2880"/>
          </w:tcPr>
          <w:p>
            <w:r>
              <w:rPr>
                <w:rFonts w:ascii="Calibri" w:hAnsi="Calibri"/>
                <w:b w:val="0"/>
                <w:sz w:val="18"/>
              </w:rPr>
              <w:t>Regime (3+1)</w:t>
            </w:r>
          </w:p>
        </w:tc>
        <w:tc>
          <w:tcPr>
            <w:tcW w:type="dxa" w:w="3168"/>
          </w:tcPr>
          <w:p>
            <w:r>
              <w:rPr>
                <w:rFonts w:ascii="Calibri" w:hAnsi="Calibri"/>
                <w:b w:val="0"/>
                <w:sz w:val="18"/>
              </w:rPr>
              <w:t>3 parallel + 1 sequential</w:t>
            </w:r>
          </w:p>
        </w:tc>
        <w:tc>
          <w:tcPr>
            <w:tcW w:type="dxa" w:w="3024"/>
          </w:tcPr>
          <w:p>
            <w:r>
              <w:rPr>
                <w:rFonts w:ascii="Calibri" w:hAnsi="Calibri"/>
                <w:b w:val="0"/>
                <w:sz w:val="18"/>
              </w:rPr>
              <w:t>~2-5s</w:t>
            </w:r>
          </w:p>
        </w:tc>
      </w:tr>
      <w:tr>
        <w:tc>
          <w:tcPr>
            <w:tcW w:type="dxa" w:w="2880"/>
          </w:tcPr>
          <w:p>
            <w:r>
              <w:rPr>
                <w:rFonts w:ascii="Calibri" w:hAnsi="Calibri"/>
                <w:b w:val="0"/>
                <w:sz w:val="18"/>
              </w:rPr>
              <w:t>Decision (2 sequential)</w:t>
            </w:r>
          </w:p>
        </w:tc>
        <w:tc>
          <w:tcPr>
            <w:tcW w:type="dxa" w:w="3168"/>
          </w:tcPr>
          <w:p>
            <w:r>
              <w:rPr>
                <w:rFonts w:ascii="Calibri" w:hAnsi="Calibri"/>
                <w:b w:val="0"/>
                <w:sz w:val="18"/>
              </w:rPr>
              <w:t>Sequential</w:t>
            </w:r>
          </w:p>
        </w:tc>
        <w:tc>
          <w:tcPr>
            <w:tcW w:type="dxa" w:w="3024"/>
          </w:tcPr>
          <w:p>
            <w:r>
              <w:rPr>
                <w:rFonts w:ascii="Calibri" w:hAnsi="Calibri"/>
                <w:b w:val="0"/>
                <w:sz w:val="18"/>
              </w:rPr>
              <w:t>~5-10s (SYNTH is LLM-bound)</w:t>
            </w:r>
          </w:p>
        </w:tc>
      </w:tr>
      <w:tr>
        <w:tc>
          <w:tcPr>
            <w:tcW w:type="dxa" w:w="2880"/>
          </w:tcPr>
          <w:p>
            <w:r>
              <w:rPr>
                <w:rFonts w:ascii="Calibri" w:hAnsi="Calibri"/>
                <w:b w:val="0"/>
                <w:sz w:val="18"/>
              </w:rPr>
              <w:t>Execution (4 sequential)</w:t>
            </w:r>
          </w:p>
        </w:tc>
        <w:tc>
          <w:tcPr>
            <w:tcW w:type="dxa" w:w="3168"/>
          </w:tcPr>
          <w:p>
            <w:r>
              <w:rPr>
                <w:rFonts w:ascii="Calibri" w:hAnsi="Calibri"/>
                <w:b w:val="0"/>
                <w:sz w:val="18"/>
              </w:rPr>
              <w:t>Strictly sequential</w:t>
            </w:r>
          </w:p>
        </w:tc>
        <w:tc>
          <w:tcPr>
            <w:tcW w:type="dxa" w:w="3024"/>
          </w:tcPr>
          <w:p>
            <w:r>
              <w:rPr>
                <w:rFonts w:ascii="Calibri" w:hAnsi="Calibri"/>
                <w:b w:val="0"/>
                <w:sz w:val="18"/>
              </w:rPr>
              <w:t>~1-2s (all frozen)</w:t>
            </w:r>
          </w:p>
        </w:tc>
      </w:tr>
    </w:tbl>
    <w:p/>
    <w:p>
      <w:pPr>
        <w:pStyle w:val="Heading2"/>
      </w:pPr>
      <w:r>
        <w:t>12.2 Scalability</w:t>
      </w:r>
    </w:p>
    <w:p>
      <w:pPr>
        <w:pStyle w:val="ListBullet"/>
      </w:pPr>
      <w:r>
        <w:t>Watchlist: Currently configured for 20 tickers. Scalable to ~100 with rate limiting adjustments.</w:t>
      </w:r>
    </w:p>
    <w:p>
      <w:pPr>
        <w:pStyle w:val="ListBullet"/>
      </w:pPr>
      <w:r>
        <w:t>Storage: Append-only JSONL with in-memory indexes. Suitable for months of operation. PostgreSQL migration planned for multi-year data.</w:t>
      </w:r>
    </w:p>
    <w:p>
      <w:pPr>
        <w:pStyle w:val="ListBullet"/>
      </w:pPr>
      <w:r>
        <w:t>LLM costs: 8 adaptive agents per cycle. ~$0.50-1.00 per full pipeline run at current Anthropic pricing.</w:t>
      </w:r>
    </w:p>
    <w:p>
      <w:r>
        <w:br w:type="page"/>
      </w:r>
    </w:p>
    <w:p>
      <w:pPr>
        <w:pStyle w:val="Heading1"/>
      </w:pPr>
      <w:r>
        <w:t>13. Roadmap</w:t>
      </w:r>
    </w:p>
    <w:p>
      <w:pPr>
        <w:pStyle w:val="Heading2"/>
      </w:pPr>
      <w:r>
        <w:t>Completed (35 Sessions)</w:t>
      </w:r>
    </w:p>
    <w:p>
      <w:pPr>
        <w:pStyle w:val="ListBullet"/>
      </w:pPr>
      <w:r>
        <w:t>Phases 1-4: All 35 agents across 7 subsystems</w:t>
      </w:r>
    </w:p>
    <w:p>
      <w:pPr>
        <w:pStyle w:val="ListBullet"/>
      </w:pPr>
      <w:r>
        <w:t>Phase 5: Orchestration layer with DAG pipeline</w:t>
      </w:r>
    </w:p>
    <w:p>
      <w:pPr>
        <w:pStyle w:val="ListBullet"/>
      </w:pPr>
      <w:r>
        <w:t>Phase 6: Storage layer with persistence</w:t>
      </w:r>
    </w:p>
    <w:p>
      <w:pPr>
        <w:pStyle w:val="ListBullet"/>
      </w:pPr>
      <w:r>
        <w:t>Phase 7: Integration testing and polish</w:t>
      </w:r>
    </w:p>
    <w:p>
      <w:pPr>
        <w:pStyle w:val="ListBullet"/>
      </w:pPr>
      <w:r>
        <w:t>Phase 8: Deployment infrastructure</w:t>
      </w:r>
    </w:p>
    <w:p>
      <w:pPr>
        <w:pStyle w:val="ListBullet"/>
      </w:pPr>
      <w:r>
        <w:t>Phase 9: Broker integration (Alpaca Markets)</w:t>
      </w:r>
    </w:p>
    <w:p>
      <w:pPr>
        <w:pStyle w:val="ListBullet"/>
      </w:pPr>
      <w:r>
        <w:t>Phase 10: E2E pipeline debugging</w:t>
      </w:r>
    </w:p>
    <w:p>
      <w:pPr>
        <w:pStyle w:val="ListBullet"/>
      </w:pPr>
      <w:r>
        <w:t>Phase 11: REST API layer (17 endpoints)</w:t>
      </w:r>
    </w:p>
    <w:p>
      <w:pPr>
        <w:pStyle w:val="ListBullet"/>
      </w:pPr>
      <w:r>
        <w:t>Phase 12: Hosting, deployment, CI/CD</w:t>
      </w:r>
    </w:p>
    <w:p>
      <w:pPr>
        <w:pStyle w:val="ListBullet"/>
      </w:pPr>
      <w:r>
        <w:t>Phase 13: Security audit and hardening</w:t>
      </w:r>
    </w:p>
    <w:p>
      <w:pPr>
        <w:pStyle w:val="Heading2"/>
      </w:pPr>
      <w:r>
        <w:t>Planned</w:t>
      </w:r>
    </w:p>
    <w:p>
      <w:pPr>
        <w:pStyle w:val="ListBullet"/>
      </w:pPr>
      <w:r>
        <w:t>PostgreSQL migration for multi-year data storage</w:t>
      </w:r>
    </w:p>
    <w:p>
      <w:pPr>
        <w:pStyle w:val="ListBullet"/>
      </w:pPr>
      <w:r>
        <w:t>WebSocket real-time event streaming</w:t>
      </w:r>
    </w:p>
    <w:p>
      <w:pPr>
        <w:pStyle w:val="ListBullet"/>
      </w:pPr>
      <w:r>
        <w:t>Investor portal frontend (React)</w:t>
      </w:r>
    </w:p>
    <w:p>
      <w:pPr>
        <w:pStyle w:val="ListBullet"/>
      </w:pPr>
      <w:r>
        <w:t>JWT authentication with role-based access</w:t>
      </w:r>
    </w:p>
    <w:p>
      <w:pPr>
        <w:pStyle w:val="ListBullet"/>
      </w:pPr>
      <w:r>
        <w:t>Paper trading validation period</w:t>
      </w:r>
    </w:p>
    <w:p>
      <w:pPr>
        <w:pStyle w:val="ListBullet"/>
      </w:pPr>
      <w:r>
        <w:t>Live trading deployment</w:t>
      </w:r>
    </w:p>
    <w:p/>
    <w:p>
      <w:pPr>
        <w:jc w:val="center"/>
      </w:pPr>
      <w:r>
        <w:rPr>
          <w:color w:val="CCCCCC"/>
        </w:rPr>
        <w:t>____________________________________________________________</w:t>
      </w:r>
    </w:p>
    <w:p>
      <w:pPr>
        <w:jc w:val="center"/>
      </w:pPr>
      <w:r>
        <w:rPr>
          <w:b w:val="0"/>
          <w:i w:val="0"/>
          <w:color w:val="999999"/>
          <w:sz w:val="18"/>
        </w:rPr>
        <w:t>Providence Technical Whitepaper v1.0 | March 2026 | Confidential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A3C5E"/>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3C5E"/>
      <w:sz w:val="3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Calibri" w:hAnsi="Calibri"/>
      <w:b/>
      <w:bCs/>
      <w:color w:val="2C5F8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