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 revisado con gran interés el manuscrito "Predicción de patrones espacio-temporales delictivos mediante redes neuronales Convolucionales LSTM" de Julio Alberto Bautista y Fernando Alatriste. El trabajo aborda un problema de gran relevancia social y académica: la predicción de la delincuencia en un entorno urbano complejo como la Ciudad de México, utilizando para ello una técnica de aprendizaje profundo avanzada como es la red ConvLSTM.</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9be0bnczpqzq" w:id="0"/>
      <w:bookmarkEnd w:id="0"/>
      <w:r w:rsidDel="00000000" w:rsidR="00000000" w:rsidRPr="00000000">
        <w:rPr>
          <w:b w:val="1"/>
          <w:color w:val="000000"/>
          <w:sz w:val="26"/>
          <w:szCs w:val="26"/>
          <w:rtl w:val="0"/>
        </w:rPr>
        <w:t xml:space="preserve">Evaluación Crítica y Propuestas de Mejora</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m78113hfj7m1" w:id="1"/>
      <w:bookmarkEnd w:id="1"/>
      <w:r w:rsidDel="00000000" w:rsidR="00000000" w:rsidRPr="00000000">
        <w:rPr>
          <w:b w:val="1"/>
          <w:color w:val="000000"/>
          <w:sz w:val="22"/>
          <w:szCs w:val="22"/>
          <w:rtl w:val="0"/>
        </w:rPr>
        <w:t xml:space="preserve">Fortalezas del Artículo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Tema Relevante y Actual:</w:t>
      </w:r>
      <w:r w:rsidDel="00000000" w:rsidR="00000000" w:rsidRPr="00000000">
        <w:rPr>
          <w:rtl w:val="0"/>
        </w:rPr>
        <w:t xml:space="preserve"> La predicción del crimen es un área de investigación activa y de gran impacto. El uso de modelos de aprendizaje profundo como ConvLSTM para datos espacio-temporales es una aproximación de vanguardia.</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Metodología Sólida:</w:t>
      </w:r>
      <w:r w:rsidDel="00000000" w:rsidR="00000000" w:rsidRPr="00000000">
        <w:rPr>
          <w:rtl w:val="0"/>
        </w:rPr>
        <w:t xml:space="preserve"> El flujo de trabajo general, que comprende desde la obtención de datos públicos, la generación de mapas de calor mediante KDE y el entrenamiento de una red neuronal recurrente, es coherente y adecuado para el problema planteado.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Resultados Prometedores:</w:t>
      </w:r>
      <w:r w:rsidDel="00000000" w:rsidR="00000000" w:rsidRPr="00000000">
        <w:rPr>
          <w:rtl w:val="0"/>
        </w:rPr>
        <w:t xml:space="preserve"> El modelo demuestra su capacidad para aprender y predecir la distribución espacial del delito, y las métricas de evaluación utilizadas (MAE, RMSE, Hit Rate) son pertinentes.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Autocrítica y Visión a Futuro:</w:t>
      </w:r>
      <w:r w:rsidDel="00000000" w:rsidR="00000000" w:rsidRPr="00000000">
        <w:rPr>
          <w:rtl w:val="0"/>
        </w:rPr>
        <w:t xml:space="preserve"> Los autores identifican correctamente las limitaciones de su enfoque actual (p. ej., la función de activación y de pérdida) y proponen líneas de trabajo futuro muy relevantes, como la inclusión de covariables y el uso de métricas más avanzadas.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psesrcd928d8" w:id="2"/>
      <w:bookmarkEnd w:id="2"/>
      <w:r w:rsidDel="00000000" w:rsidR="00000000" w:rsidRPr="00000000">
        <w:rPr>
          <w:b w:val="1"/>
          <w:color w:val="000000"/>
          <w:sz w:val="22"/>
          <w:szCs w:val="22"/>
          <w:rtl w:val="0"/>
        </w:rPr>
        <w:t xml:space="preserve">Revisiones Mayores Sugeridas</w:t>
      </w:r>
    </w:p>
    <w:p w:rsidR="00000000" w:rsidDel="00000000" w:rsidP="00000000" w:rsidRDefault="00000000" w:rsidRPr="00000000" w14:paraId="0000000A">
      <w:pPr>
        <w:spacing w:after="240" w:before="240" w:lineRule="auto"/>
        <w:rPr/>
      </w:pPr>
      <w:r w:rsidDel="00000000" w:rsidR="00000000" w:rsidRPr="00000000">
        <w:rPr>
          <w:rtl w:val="0"/>
        </w:rPr>
        <w:t xml:space="preserve">Para elevar la calidad del artículo y su impacto en la comunidad científica, sugiero las siguientes revisiones: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1. Fortalecer la Introducción y el Marco Teórico</w:t>
      </w:r>
    </w:p>
    <w:p w:rsidR="00000000" w:rsidDel="00000000" w:rsidP="00000000" w:rsidRDefault="00000000" w:rsidRPr="00000000" w14:paraId="0000000C">
      <w:pPr>
        <w:spacing w:after="240" w:before="240" w:lineRule="auto"/>
        <w:rPr/>
      </w:pPr>
      <w:r w:rsidDel="00000000" w:rsidR="00000000" w:rsidRPr="00000000">
        <w:rPr>
          <w:rtl w:val="0"/>
        </w:rPr>
        <w:t xml:space="preserve">La introducción podría contextualizar mejor el problema desde una perspectiva criminológica y técnica. La elección de predecir "puntos calientes" no es arbitraria, sino que se fundamenta en teorías criminológicas bien establecidas.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rtl w:val="0"/>
        </w:rPr>
        <w:t xml:space="preserve">Propuesta de Mejora:</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En la sección 1 (Introducción), se debería incluir una breve discusión sobre las teorías de la criminología ambiental, como la </w:t>
      </w:r>
      <w:r w:rsidDel="00000000" w:rsidR="00000000" w:rsidRPr="00000000">
        <w:rPr>
          <w:b w:val="1"/>
          <w:rtl w:val="0"/>
        </w:rPr>
        <w:t xml:space="preserve">Teoría de las Actividades Rutinarias</w:t>
      </w:r>
      <w:r w:rsidDel="00000000" w:rsidR="00000000" w:rsidRPr="00000000">
        <w:rPr>
          <w:rtl w:val="0"/>
        </w:rPr>
        <w:t xml:space="preserve"> (Cohen &amp; Felson, 1979) y la </w:t>
      </w:r>
      <w:r w:rsidDel="00000000" w:rsidR="00000000" w:rsidRPr="00000000">
        <w:rPr>
          <w:b w:val="1"/>
          <w:rtl w:val="0"/>
        </w:rPr>
        <w:t xml:space="preserve">Teoría del Patrón Delictivo</w:t>
      </w:r>
      <w:r w:rsidDel="00000000" w:rsidR="00000000" w:rsidRPr="00000000">
        <w:rPr>
          <w:rtl w:val="0"/>
        </w:rPr>
        <w:t xml:space="preserve"> (Brantingham &amp; Brantingham, 1993). Estas teorías postulan que el delito no ocurre al azar, sino que se concentra en lugares y momentos específicos donde convergen ofensores motivados, víctimas u objetivos adecuados y una ausencia de guardianes capaces. Esto proporcionaría una base teórica sólida que justifica por qué la predicción espacio-temporal es factible y útil.</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Ampliar la revisión de la literatura para incluir y comparar otros enfoques de aprendizaje automático y profundo utilizados para la predicción del crimen (p. ej., Redes Neuronales Gráficas - GNN, modelos basados en GANs, o incluso métodos más tradicionales como Random Forest espacial) para justificar de manera más contundente la elección del modelo ConvLSTM.</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2. Aumentar el Detalle y la Justificación en la Metodología</w:t>
      </w:r>
    </w:p>
    <w:p w:rsidR="00000000" w:rsidDel="00000000" w:rsidP="00000000" w:rsidRDefault="00000000" w:rsidRPr="00000000" w14:paraId="00000012">
      <w:pPr>
        <w:spacing w:after="240" w:before="240" w:lineRule="auto"/>
        <w:rPr/>
      </w:pPr>
      <w:r w:rsidDel="00000000" w:rsidR="00000000" w:rsidRPr="00000000">
        <w:rPr>
          <w:rtl w:val="0"/>
        </w:rPr>
        <w:t xml:space="preserve">La replicabilidad es un pilar de la investigación científica. La sección de metodología se beneficiaría de un mayor nivel de detalle.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rtl w:val="0"/>
        </w:rPr>
        <w:t xml:space="preserve">Propuesta de Mejora:</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rtl w:val="0"/>
        </w:rPr>
        <w:t xml:space="preserve">Preprocesamiento de datos (Sección 2.2):</w:t>
      </w:r>
      <w:r w:rsidDel="00000000" w:rsidR="00000000" w:rsidRPr="00000000">
        <w:rPr>
          <w:rtl w:val="0"/>
        </w:rPr>
        <w:t xml:space="preserve"> Se debe especificar el </w:t>
      </w:r>
      <w:r w:rsidDel="00000000" w:rsidR="00000000" w:rsidRPr="00000000">
        <w:rPr>
          <w:b w:val="1"/>
          <w:rtl w:val="0"/>
        </w:rPr>
        <w:t xml:space="preserve">ancho de banda (bandwidth)</w:t>
      </w:r>
      <w:r w:rsidDel="00000000" w:rsidR="00000000" w:rsidRPr="00000000">
        <w:rPr>
          <w:rtl w:val="0"/>
        </w:rPr>
        <w:t xml:space="preserve"> utilizado en la estimación de densidad por kernels (KDE). Este es un hiperparámetro crítico que tiene un impacto sustancial en la suavidad y forma de los mapas de calor generados.</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rtl w:val="0"/>
        </w:rPr>
        <w:t xml:space="preserve">Arquitectura de la red (Sección 2.4):</w:t>
      </w:r>
      <w:r w:rsidDel="00000000" w:rsidR="00000000" w:rsidRPr="00000000">
        <w:rPr>
          <w:rtl w:val="0"/>
        </w:rPr>
        <w:t xml:space="preserve"> Se debería justificar la elección de los hiperparámetros de la red. ¿Por qué se eligieron 4 capas ConvLSTM con 36 filtros? ¿Se realizó alguna experimentación o se basaron en trabajos previos? Justificar la elección del optimizador Adadelta sobre otros más comunes actualmente como Adam sería beneficioso.</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rtl w:val="0"/>
        </w:rPr>
        <w:t xml:space="preserve">Establecer una Línea de Base (Baseline):</w:t>
      </w:r>
      <w:r w:rsidDel="00000000" w:rsidR="00000000" w:rsidRPr="00000000">
        <w:rPr>
          <w:rtl w:val="0"/>
        </w:rPr>
        <w:t xml:space="preserve"> Un modelo complejo como ConvLSTM debe demostrar su superioridad frente a métodos más simples. Se debería entrenar y evaluar al menos un </w:t>
      </w:r>
      <w:r w:rsidDel="00000000" w:rsidR="00000000" w:rsidRPr="00000000">
        <w:rPr>
          <w:b w:val="1"/>
          <w:rtl w:val="0"/>
        </w:rPr>
        <w:t xml:space="preserve">modelo de línea de base</w:t>
      </w:r>
      <w:r w:rsidDel="00000000" w:rsidR="00000000" w:rsidRPr="00000000">
        <w:rPr>
          <w:rtl w:val="0"/>
        </w:rPr>
        <w:t xml:space="preserve">. Un buen candidato sería un </w:t>
      </w:r>
      <w:r w:rsidDel="00000000" w:rsidR="00000000" w:rsidRPr="00000000">
        <w:rPr>
          <w:b w:val="1"/>
          <w:rtl w:val="0"/>
        </w:rPr>
        <w:t xml:space="preserve">promedio histórico</w:t>
      </w:r>
      <w:r w:rsidDel="00000000" w:rsidR="00000000" w:rsidRPr="00000000">
        <w:rPr>
          <w:rtl w:val="0"/>
        </w:rPr>
        <w:t xml:space="preserve">, que predice que el mapa de calor del próximo mes será idéntico al del mismo mes en el año anterior. Esto permitiría cuantificar la mejora real que aporta el modelo ConvLSTM.</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3. Enriquecer la Evaluación del Modelo</w:t>
      </w:r>
    </w:p>
    <w:p w:rsidR="00000000" w:rsidDel="00000000" w:rsidP="00000000" w:rsidRDefault="00000000" w:rsidRPr="00000000" w14:paraId="00000019">
      <w:pPr>
        <w:spacing w:after="240" w:before="240" w:lineRule="auto"/>
        <w:rPr/>
      </w:pPr>
      <w:r w:rsidDel="00000000" w:rsidR="00000000" w:rsidRPr="00000000">
        <w:rPr>
          <w:rtl w:val="0"/>
        </w:rPr>
        <w:t xml:space="preserve">Si bien las métricas utilizadas son informativas, no capturan completamente la calidad de la predicción de "puntos calientes" como áreas discretas.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rtl w:val="0"/>
        </w:rPr>
        <w:t xml:space="preserve">Propuesta de Mejora:</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Como los propios autores sugieren en el trabajo futuro, se debería implementar una evaluación basada en </w:t>
      </w:r>
      <w:r w:rsidDel="00000000" w:rsidR="00000000" w:rsidRPr="00000000">
        <w:rPr>
          <w:i w:val="1"/>
          <w:rtl w:val="0"/>
        </w:rPr>
        <w:t xml:space="preserve">hotspots</w:t>
      </w:r>
      <w:r w:rsidDel="00000000" w:rsidR="00000000" w:rsidRPr="00000000">
        <w:rPr>
          <w:rtl w:val="0"/>
        </w:rPr>
        <w:t xml:space="preserve"> discretos. Para ello, se puede aplicar un umbral a los mapas de calor (reales y predichos) para definir las áreas de mayor riesgo. Sobre estas áreas, se pueden calcular métricas como:</w:t>
      </w:r>
    </w:p>
    <w:p w:rsidR="00000000" w:rsidDel="00000000" w:rsidP="00000000" w:rsidRDefault="00000000" w:rsidRPr="00000000" w14:paraId="0000001C">
      <w:pPr>
        <w:numPr>
          <w:ilvl w:val="2"/>
          <w:numId w:val="2"/>
        </w:numPr>
        <w:spacing w:after="0" w:afterAutospacing="0" w:before="0" w:beforeAutospacing="0" w:lineRule="auto"/>
        <w:ind w:left="2160" w:hanging="360"/>
      </w:pPr>
      <w:r w:rsidDel="00000000" w:rsidR="00000000" w:rsidRPr="00000000">
        <w:rPr>
          <w:rtl w:val="0"/>
        </w:rPr>
        <w:t xml:space="preserve">El </w:t>
      </w:r>
      <w:r w:rsidDel="00000000" w:rsidR="00000000" w:rsidRPr="00000000">
        <w:rPr>
          <w:b w:val="1"/>
          <w:rtl w:val="0"/>
        </w:rPr>
        <w:t xml:space="preserve">Índice de Precisión Predictiva (Predictive Accuracy Index - PAI)</w:t>
      </w:r>
      <w:r w:rsidDel="00000000" w:rsidR="00000000" w:rsidRPr="00000000">
        <w:rPr>
          <w:rtl w:val="0"/>
        </w:rPr>
        <w:t xml:space="preserve">, que relaciona la tasa de acierto con el área predicha (Chainey et al., 2008).</w:t>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b w:val="1"/>
          <w:rtl w:val="0"/>
        </w:rPr>
        <w:t xml:space="preserve">Intersection over Union (IoU):</w:t>
      </w:r>
      <w:r w:rsidDel="00000000" w:rsidR="00000000" w:rsidRPr="00000000">
        <w:rPr>
          <w:rtl w:val="0"/>
        </w:rPr>
        <w:t xml:space="preserve"> Una métrica estándar en visión por computador que puede medir el grado de superposición entre los </w:t>
      </w:r>
      <w:r w:rsidDel="00000000" w:rsidR="00000000" w:rsidRPr="00000000">
        <w:rPr>
          <w:i w:val="1"/>
          <w:rtl w:val="0"/>
        </w:rPr>
        <w:t xml:space="preserve">hotspots</w:t>
      </w:r>
      <w:r w:rsidDel="00000000" w:rsidR="00000000" w:rsidRPr="00000000">
        <w:rPr>
          <w:rtl w:val="0"/>
        </w:rPr>
        <w:t xml:space="preserve"> reales y los predichos.</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La discusión de los resultados (Sección 3.3) debería interpretar los valores de las métricas en un contexto práctico. Por ejemplo, ¿qué significa un Hit Rate de 0.165 en términos de la efectividad policial que podría derivarse de estas predicciones?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4hmohpdngfhw" w:id="3"/>
      <w:bookmarkEnd w:id="3"/>
      <w:r w:rsidDel="00000000" w:rsidR="00000000" w:rsidRPr="00000000">
        <w:rPr>
          <w:b w:val="1"/>
          <w:color w:val="000000"/>
          <w:sz w:val="22"/>
          <w:szCs w:val="22"/>
          <w:rtl w:val="0"/>
        </w:rPr>
        <w:t xml:space="preserve">Revisiones Menores y Sugerencias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Visualización de Resultados:</w:t>
      </w:r>
      <w:r w:rsidDel="00000000" w:rsidR="00000000" w:rsidRPr="00000000">
        <w:rPr>
          <w:rtl w:val="0"/>
        </w:rPr>
        <w:t xml:space="preserve"> Las predicciones en la Figura 4 se ven borrosas, un efecto secundario común de optimizar el error cuadrático medio (o absoluto) en imágenes. Los autores podrían mencionar esto y sugerir que el uso de arquitecturas como las Redes Generativas Antagónicas (GANs) podría generar predicciones visualmente más nítidas y realistas en trabajos futuros, como lo han explorado algunos estudios (Wang et al., 2019).</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Citas en el texto:</w:t>
      </w:r>
      <w:r w:rsidDel="00000000" w:rsidR="00000000" w:rsidRPr="00000000">
        <w:rPr>
          <w:rtl w:val="0"/>
        </w:rPr>
        <w:t xml:space="preserve"> En la sección 4 (Conclusiones y trabajo futuro), hay varias afirmaciones que terminan con "(cita)". Se deben incluir las referencias correspondientes en esas ubicaciones para respaldar las propuestas.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Formato de Tabla:</w:t>
      </w:r>
      <w:r w:rsidDel="00000000" w:rsidR="00000000" w:rsidRPr="00000000">
        <w:rPr>
          <w:rtl w:val="0"/>
        </w:rPr>
        <w:t xml:space="preserve"> El pie de foto de la Tabla 1 indica "Tables, no capital letters, no point at the end", lo cual parece una nota de formato interna. Debería reemplazarse por una descripción formal del contenido de la tabla.</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upolc7vwx6ab" w:id="4"/>
      <w:bookmarkEnd w:id="4"/>
      <w:r w:rsidDel="00000000" w:rsidR="00000000" w:rsidRPr="00000000">
        <w:rPr>
          <w:b w:val="1"/>
          <w:color w:val="000000"/>
          <w:sz w:val="26"/>
          <w:szCs w:val="26"/>
          <w:rtl w:val="0"/>
        </w:rPr>
        <w:t xml:space="preserve">Conclusión de la Revisión</w:t>
      </w:r>
    </w:p>
    <w:p w:rsidR="00000000" w:rsidDel="00000000" w:rsidP="00000000" w:rsidRDefault="00000000" w:rsidRPr="00000000" w14:paraId="00000026">
      <w:pPr>
        <w:spacing w:after="240" w:before="240" w:lineRule="auto"/>
        <w:rPr/>
      </w:pPr>
      <w:r w:rsidDel="00000000" w:rsidR="00000000" w:rsidRPr="00000000">
        <w:rPr>
          <w:rtl w:val="0"/>
        </w:rPr>
        <w:t xml:space="preserve">Este es un trabajo de gran potencial que aplica una metodología moderna a un problema socialmente relevante. Las fortalezas superan con creces las debilidades, y estas últimas son, en su mayoría, subsanables mediante una revisión cuidadosa. Si los autores abordan las revisiones mayores propuestas, especialmente fortaleciendo el marco teórico, detallando la metodología e incluyendo una evaluación con modelos de línea de base, el manuscrito mejorará significativamente su rigor científico y su contribución al campo.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avvu9ofm1p1q" w:id="5"/>
      <w:bookmarkEnd w:id="5"/>
      <w:r w:rsidDel="00000000" w:rsidR="00000000" w:rsidRPr="00000000">
        <w:rPr>
          <w:b w:val="1"/>
          <w:color w:val="000000"/>
          <w:sz w:val="26"/>
          <w:szCs w:val="26"/>
          <w:rtl w:val="0"/>
        </w:rPr>
        <w:t xml:space="preserve">Bibliografía Adicional Propuesta (Formato APA 7ma Edición)</w:t>
      </w:r>
    </w:p>
    <w:p w:rsidR="00000000" w:rsidDel="00000000" w:rsidP="00000000" w:rsidRDefault="00000000" w:rsidRPr="00000000" w14:paraId="00000029">
      <w:pPr>
        <w:spacing w:after="240" w:before="240" w:lineRule="auto"/>
        <w:rPr/>
      </w:pPr>
      <w:r w:rsidDel="00000000" w:rsidR="00000000" w:rsidRPr="00000000">
        <w:rPr>
          <w:rtl w:val="0"/>
        </w:rPr>
        <w:t xml:space="preserve">A continuación, se presenta una lista de referencias que pueden ser incorporadas en el texto para fortalecer los puntos mencionados.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Para la Introducción y Marco Teórico:</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Brantingham, P. J., &amp; Brantingham, P. L. (1993). Environment, Routine, and Situation: Toward a Pattern Theory of Crime. En R. V. Clarke &amp; M. Felson (Eds.), </w:t>
      </w:r>
      <w:r w:rsidDel="00000000" w:rsidR="00000000" w:rsidRPr="00000000">
        <w:rPr>
          <w:i w:val="1"/>
          <w:rtl w:val="0"/>
        </w:rPr>
        <w:t xml:space="preserve">Routine Activity and Rational Choice</w:t>
      </w:r>
      <w:r w:rsidDel="00000000" w:rsidR="00000000" w:rsidRPr="00000000">
        <w:rPr>
          <w:rtl w:val="0"/>
        </w:rPr>
        <w:t xml:space="preserve"> (pp. 259-294). Transaction Publishers.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Chainey, S., Tompson, L., &amp; Uhlig, S. (2008). The utility of hotspot mapping for predicting spatial patterns of crime. </w:t>
      </w:r>
      <w:r w:rsidDel="00000000" w:rsidR="00000000" w:rsidRPr="00000000">
        <w:rPr>
          <w:i w:val="1"/>
          <w:rtl w:val="0"/>
        </w:rPr>
        <w:t xml:space="preserve">Security Journal, 21</w:t>
      </w:r>
      <w:r w:rsidDel="00000000" w:rsidR="00000000" w:rsidRPr="00000000">
        <w:rPr>
          <w:rtl w:val="0"/>
        </w:rPr>
        <w:t xml:space="preserve">(1-2), 4-28.</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https://doi.org/10.1057/palgrave.sj.8350066</w:t>
        </w:r>
      </w:hyperlink>
      <w:r w:rsidDel="00000000" w:rsidR="00000000" w:rsidRPr="00000000">
        <w:rPr>
          <w:rtl w:val="0"/>
        </w:rPr>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Cohen, L. E., &amp; Felson, M. (1979). Social Change and Crime Rate Trends: A Routine Activity Approach. </w:t>
      </w:r>
      <w:r w:rsidDel="00000000" w:rsidR="00000000" w:rsidRPr="00000000">
        <w:rPr>
          <w:i w:val="1"/>
          <w:rtl w:val="0"/>
        </w:rPr>
        <w:t xml:space="preserve">American Sociological Review, 44</w:t>
      </w:r>
      <w:r w:rsidDel="00000000" w:rsidR="00000000" w:rsidRPr="00000000">
        <w:rPr>
          <w:rtl w:val="0"/>
        </w:rPr>
        <w:t xml:space="preserve">(4), 588-608.</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https://doi.org/10.2307/2094589</w:t>
        </w:r>
      </w:hyperlink>
      <w:r w:rsidDel="00000000" w:rsidR="00000000" w:rsidRPr="00000000">
        <w:rPr>
          <w:rtl w:val="0"/>
        </w:rPr>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Rummens, A., Hardyns, W., &amp; Pauwels, L. (2017). The use of predictive analysis in crime prediction: A systematic review. </w:t>
      </w:r>
      <w:r w:rsidDel="00000000" w:rsidR="00000000" w:rsidRPr="00000000">
        <w:rPr>
          <w:i w:val="1"/>
          <w:rtl w:val="0"/>
        </w:rPr>
        <w:t xml:space="preserve">SpringerPlus, 6</w:t>
      </w:r>
      <w:r w:rsidDel="00000000" w:rsidR="00000000" w:rsidRPr="00000000">
        <w:rPr>
          <w:rtl w:val="0"/>
        </w:rPr>
        <w:t xml:space="preserve">(1), 1-13. (Esta referencia puede servir para ampliar la revisión de la literatura sobre métodos predictivos).</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Para Metodología y Discusión (Modelos alternativos y evaluación):</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Helbich, M. (2018). Toward dynamic urban analytics: The case of crime and its environmental determinants. </w:t>
      </w:r>
      <w:r w:rsidDel="00000000" w:rsidR="00000000" w:rsidRPr="00000000">
        <w:rPr>
          <w:i w:val="1"/>
          <w:rtl w:val="0"/>
        </w:rPr>
        <w:t xml:space="preserve">Cities, 74</w:t>
      </w:r>
      <w:r w:rsidDel="00000000" w:rsidR="00000000" w:rsidRPr="00000000">
        <w:rPr>
          <w:rtl w:val="0"/>
        </w:rPr>
        <w:t xml:space="preserve">, 41-50.</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https://doi.org/10.1016/j.cities.2017.11.002</w:t>
        </w:r>
      </w:hyperlink>
      <w:r w:rsidDel="00000000" w:rsidR="00000000" w:rsidRPr="00000000">
        <w:rPr>
          <w:rtl w:val="0"/>
        </w:rPr>
        <w:t xml:space="preserve"> (Ejemplo de uso de covariables).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Mohler, G. O., Short, M. B., Brantingham, P. J., Schoenberg, F. P., &amp; Tita, G. E. (2011). Self-exciting point process modeling of crime. </w:t>
      </w:r>
      <w:r w:rsidDel="00000000" w:rsidR="00000000" w:rsidRPr="00000000">
        <w:rPr>
          <w:i w:val="1"/>
          <w:rtl w:val="0"/>
        </w:rPr>
        <w:t xml:space="preserve">Journal of the American Statistical Association, 106</w:t>
      </w:r>
      <w:r w:rsidDel="00000000" w:rsidR="00000000" w:rsidRPr="00000000">
        <w:rPr>
          <w:rtl w:val="0"/>
        </w:rPr>
        <w:t xml:space="preserve">(493), 100-108. (Presenta un enfoque estadístico clásico que puede servir como línea de base).</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Wang, B., Zhang, D., Zhang, D., Brantingham, P. J., &amp; Bertozzi, A. L. (2019). Deep learning for real-time crime forecasting. </w:t>
      </w:r>
      <w:r w:rsidDel="00000000" w:rsidR="00000000" w:rsidRPr="00000000">
        <w:rPr>
          <w:i w:val="1"/>
          <w:rtl w:val="0"/>
        </w:rPr>
        <w:t xml:space="preserve">IEEE Intelligent Systems, 34</w:t>
      </w:r>
      <w:r w:rsidDel="00000000" w:rsidR="00000000" w:rsidRPr="00000000">
        <w:rPr>
          <w:rtl w:val="0"/>
        </w:rPr>
        <w:t xml:space="preserve">(4), 42-49. (Referencia relevante para la discusión sobre GANs y predicciones más nítidas).</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Yu, C., Ward, M., Morstatter, F., &amp; Liu, H. (2021). Hypergraph-based spatio-temporal crime prediction. En </w:t>
      </w:r>
      <w:r w:rsidDel="00000000" w:rsidR="00000000" w:rsidRPr="00000000">
        <w:rPr>
          <w:i w:val="1"/>
          <w:rtl w:val="0"/>
        </w:rPr>
        <w:t xml:space="preserve">Proceedings of the 2021 SIAM International Conference on Data Mining (SDM)</w:t>
      </w:r>
      <w:r w:rsidDel="00000000" w:rsidR="00000000" w:rsidRPr="00000000">
        <w:rPr>
          <w:rtl w:val="0"/>
        </w:rPr>
        <w:t xml:space="preserve"> (pp. 37-45). SIAM. (Un ejemplo de uso de GNNs, como se menciona en el trabajo futuro).</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cities.2017.11.002" TargetMode="External"/><Relationship Id="rId10" Type="http://schemas.openxmlformats.org/officeDocument/2006/relationships/hyperlink" Target="https://doi.org/10.1016/j.cities.2017.11.002" TargetMode="External"/><Relationship Id="rId9" Type="http://schemas.openxmlformats.org/officeDocument/2006/relationships/hyperlink" Target="https://doi.org/10.2307/2094589" TargetMode="External"/><Relationship Id="rId5" Type="http://schemas.openxmlformats.org/officeDocument/2006/relationships/styles" Target="styles.xml"/><Relationship Id="rId6" Type="http://schemas.openxmlformats.org/officeDocument/2006/relationships/hyperlink" Target="https://doi.org/10.1057/palgrave.sj.8350066" TargetMode="External"/><Relationship Id="rId7" Type="http://schemas.openxmlformats.org/officeDocument/2006/relationships/hyperlink" Target="https://doi.org/10.1057/palgrave.sj.8350066" TargetMode="External"/><Relationship Id="rId8" Type="http://schemas.openxmlformats.org/officeDocument/2006/relationships/hyperlink" Target="https://doi.org/10.2307/2094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