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BE4FAD" w14:textId="77777777" w:rsidR="00677CC1" w:rsidRDefault="00677CC1" w:rsidP="00677CC1">
      <w:pPr>
        <w:pStyle w:val="Ttulo2"/>
        <w:numPr>
          <w:ilvl w:val="1"/>
          <w:numId w:val="1"/>
        </w:numPr>
        <w:tabs>
          <w:tab w:val="num" w:pos="360"/>
        </w:tabs>
        <w:ind w:left="0" w:firstLine="0"/>
      </w:pPr>
      <w:bookmarkStart w:id="0" w:name="_Toc235442623"/>
      <w:r w:rsidRPr="00DE2844">
        <w:t>Fundamentación de propuesta de transformación</w:t>
      </w:r>
      <w:r>
        <w:t>.</w:t>
      </w:r>
      <w:bookmarkEnd w:id="0"/>
    </w:p>
    <w:p w14:paraId="15039989" w14:textId="77777777" w:rsidR="00677CC1" w:rsidRDefault="00677CC1" w:rsidP="00677CC1">
      <w:pPr>
        <w:pStyle w:val="APA7"/>
      </w:pPr>
      <w:r>
        <w:t xml:space="preserve">La propuesta de transformación se fundamenta en la necesidad de estructurar una estrategia metodológica de gestión de proyectos basada en controles de ingeniería, como respuesta al problema identificado en el contexto de los proyectos de construcción de edificaciones e infraestructura básica en la ciudad de Quito. Su definición como estrategia metodológica se justifica porque articula, en una secuencia ordenada de fases, actividades, instrumentos y criterios técnicos, los resultados de la revisión documental, el análisis normativo y la evidencia empírica obtenida en campo, con el propósito de intervenir de manera aplicada sobre las condiciones de seguridad laboral y la prevención de riesgos. En este sentido, la propuesta expone lineamientos generales, </w:t>
      </w:r>
      <w:proofErr w:type="gramStart"/>
      <w:r>
        <w:t>y</w:t>
      </w:r>
      <w:proofErr w:type="gramEnd"/>
      <w:r>
        <w:t xml:space="preserve"> además, organiza un conjunto de procedimientos orientados a relacionar el diagnóstico del problema con respuestas técnicas operativamente aplicables en obra.</w:t>
      </w:r>
    </w:p>
    <w:p w14:paraId="0D5D8E24" w14:textId="71EBDBF5" w:rsidR="009C094D" w:rsidRDefault="00677CC1">
      <w:r>
        <w:t xml:space="preserve">Desde el plano normativo, la propuesta se sustenta en la recopilación, sistematización y análisis de los requisitos técnico-legales establecidos en la normativa ecuatoriana vigente en materia de seguridad y salud en el trabajo, particularmente en el D.E. </w:t>
      </w:r>
      <w:r w:rsidRPr="00BC2EAE">
        <w:t>255</w:t>
      </w:r>
      <w:r>
        <w:t>-</w:t>
      </w:r>
      <w:r w:rsidRPr="00BC2EAE">
        <w:t>2024</w:t>
      </w:r>
      <w:r>
        <w:t xml:space="preserve"> y en los AM-MDT-2024-196 y AM-MDT-2025-122. Este último, correspondiente al Reglamento de Seguridad en el Trabajo y Prevención de Riesgos Laborales para la Construcción y Obras Públicas y Privadas, establece en sus artículos 15 y 16 que la gestión preventiva debe apoyarse en estudios, programas y medidas técnicas definidas en función del nivel de riesgo presente en cada actividad.</w:t>
      </w:r>
    </w:p>
    <w:p w14:paraId="606E2C50" w14:textId="77777777" w:rsidR="00677CC1" w:rsidRPr="00BC6CA2" w:rsidRDefault="00677CC1" w:rsidP="00677CC1">
      <w:pPr>
        <w:pStyle w:val="Ttulo2"/>
        <w:numPr>
          <w:ilvl w:val="1"/>
          <w:numId w:val="1"/>
        </w:numPr>
        <w:tabs>
          <w:tab w:val="num" w:pos="360"/>
        </w:tabs>
        <w:ind w:left="0" w:firstLine="0"/>
      </w:pPr>
      <w:bookmarkStart w:id="1" w:name="_Toc235442624"/>
      <w:r w:rsidRPr="00BC6CA2">
        <w:t>Estructura de la propuesta de transformación.</w:t>
      </w:r>
      <w:bookmarkEnd w:id="1"/>
    </w:p>
    <w:p w14:paraId="7DA6EA6D" w14:textId="77777777" w:rsidR="00677CC1" w:rsidRDefault="00677CC1" w:rsidP="00677CC1">
      <w:pPr>
        <w:pStyle w:val="APA7"/>
        <w:rPr>
          <w:noProof/>
        </w:rPr>
      </w:pPr>
      <w:r>
        <w:rPr>
          <w:noProof/>
        </w:rPr>
        <w:t>La propuesta de transformación se estructura a partir de los resultados obtenidos en las etapas previas de la investigación y se organiza en tres componentes articulados entre sí: el componente técnico-normativo base, los cuestionarios de chequeo y los Análisis de Riesgo en el Trabajo (ART). El primer componente se sustenta en el análisis normativo y técnico de los cuerpos legales vigentes en materia de seguridad y salud en el trabajo aplicables al sector de la construcción, a partir del cual se realizó el reconocimiento de peligros y riesgos, así como la definición de criterios preventivos acordes con cada situación de peligro identificada. Esta base técnica y normativa permitió establecer los requisitos técnico-legales que orientan la intervención preventiva en los procesos constructivos analizados.</w:t>
      </w:r>
    </w:p>
    <w:p w14:paraId="077C50FC" w14:textId="77777777" w:rsidR="00677CC1" w:rsidRDefault="00677CC1" w:rsidP="00677CC1">
      <w:pPr>
        <w:pStyle w:val="APA7"/>
        <w:rPr>
          <w:noProof/>
        </w:rPr>
      </w:pPr>
      <w:r>
        <w:rPr>
          <w:noProof/>
        </w:rPr>
        <w:lastRenderedPageBreak/>
        <w:t>Sobre este fundamento se estructuró el segundo componente, correspondiente a los cuestionarios de chequeo, concebidos como instrumentos técnicos para trasladar los requisitos normativos y preventivos a criterios observables y verificables en campo. Su diseño, sustentado en la guía de la NTP 324, permitió determinar requisitos técnicos legales por riesgo y detectar niveles de deficiencia (ND) en las condiciones de seguridad presentes en los procesos constructivos. De esta manera, los cuestionarios constituyeron el vínculo entre el análisis normativo y la evaluación objetiva de las condiciones reales de trabajo.</w:t>
      </w:r>
    </w:p>
    <w:p w14:paraId="473B90EA" w14:textId="77777777" w:rsidR="00677CC1" w:rsidRDefault="00677CC1" w:rsidP="00677CC1">
      <w:pPr>
        <w:pStyle w:val="APA7"/>
        <w:rPr>
          <w:noProof/>
        </w:rPr>
      </w:pPr>
      <w:r>
        <w:rPr>
          <w:noProof/>
        </w:rPr>
        <w:t>El tercer componente corresponde a los Análisis de Riesgo en el Trabajo (ART), estructurados a partir de los resultados obtenidos en la evaluación previa y del análisis de las variables contempladas en la metodología NTP 330. En esta etapa se establecieron los niveles de riesgo por tarea, con base en los niveles de deficiencia identificados, lo que permitió definir medidas de control y orientar el diseño de estrategias metodológicas de control de ingeniería aplicables en obra. En conjunto, la propuesta se configura como una estructura técnica de intervención que integra reconocimiento del peligro, verificación de deficiencias, valoración del riesgo y respuesta operativa, con el propósito de fortalecer la gestión preventiva, mejorar las condiciones de seguridad laboral y favorecer una actuación técnica más segura y controlada en los proyectos de construcción.</w:t>
      </w:r>
    </w:p>
    <w:p w14:paraId="533331C8" w14:textId="77777777" w:rsidR="00677CC1" w:rsidRDefault="00677CC1" w:rsidP="00677CC1">
      <w:pPr>
        <w:pStyle w:val="Descripcin"/>
        <w:rPr>
          <w:b/>
          <w:bCs/>
        </w:rPr>
      </w:pPr>
    </w:p>
    <w:p w14:paraId="6E099826" w14:textId="77777777" w:rsidR="00677CC1" w:rsidRDefault="00677CC1" w:rsidP="00677CC1">
      <w:pPr>
        <w:pStyle w:val="Descripcin"/>
        <w:rPr>
          <w:b/>
          <w:bCs/>
        </w:rPr>
      </w:pPr>
    </w:p>
    <w:p w14:paraId="011EE97D" w14:textId="77777777" w:rsidR="00677CC1" w:rsidRDefault="00677CC1" w:rsidP="00677CC1"/>
    <w:p w14:paraId="19F0014E" w14:textId="77777777" w:rsidR="00677CC1" w:rsidRDefault="00677CC1" w:rsidP="00677CC1"/>
    <w:p w14:paraId="276EDD36" w14:textId="77777777" w:rsidR="00677CC1" w:rsidRDefault="00677CC1" w:rsidP="00677CC1"/>
    <w:p w14:paraId="632937B8" w14:textId="77777777" w:rsidR="00677CC1" w:rsidRDefault="00677CC1" w:rsidP="00677CC1"/>
    <w:p w14:paraId="3F4B80E6" w14:textId="77777777" w:rsidR="00677CC1" w:rsidRDefault="00677CC1" w:rsidP="00677CC1"/>
    <w:p w14:paraId="4E9CBAB1" w14:textId="77777777" w:rsidR="00677CC1" w:rsidRDefault="00677CC1" w:rsidP="00677CC1"/>
    <w:p w14:paraId="6DB2E88C" w14:textId="77777777" w:rsidR="00677CC1" w:rsidRDefault="00677CC1" w:rsidP="00677CC1"/>
    <w:p w14:paraId="0390314F" w14:textId="77777777" w:rsidR="00677CC1" w:rsidRPr="005A1ACF" w:rsidRDefault="00677CC1" w:rsidP="00677CC1"/>
    <w:p w14:paraId="4DC04D49" w14:textId="77777777" w:rsidR="00677CC1" w:rsidRPr="00125B98" w:rsidRDefault="00677CC1" w:rsidP="00677CC1">
      <w:pPr>
        <w:pStyle w:val="Descripcin"/>
        <w:rPr>
          <w:highlight w:val="yellow"/>
        </w:rPr>
      </w:pPr>
      <w:bookmarkStart w:id="2" w:name="_Toc234962312"/>
      <w:r w:rsidRPr="00CD0BF0">
        <w:rPr>
          <w:b/>
          <w:bCs/>
        </w:rPr>
        <w:lastRenderedPageBreak/>
        <w:t xml:space="preserve">Figura </w:t>
      </w:r>
      <w:r w:rsidRPr="00CD0BF0">
        <w:rPr>
          <w:b/>
          <w:bCs/>
        </w:rPr>
        <w:fldChar w:fldCharType="begin"/>
      </w:r>
      <w:r w:rsidRPr="00CD0BF0">
        <w:rPr>
          <w:b/>
          <w:bCs/>
        </w:rPr>
        <w:instrText xml:space="preserve"> SEQ Figura \* ARABIC </w:instrText>
      </w:r>
      <w:r w:rsidRPr="00CD0BF0">
        <w:rPr>
          <w:b/>
          <w:bCs/>
        </w:rPr>
        <w:fldChar w:fldCharType="separate"/>
      </w:r>
      <w:r>
        <w:rPr>
          <w:b/>
          <w:bCs/>
          <w:noProof/>
        </w:rPr>
        <w:t>13</w:t>
      </w:r>
      <w:r w:rsidRPr="00CD0BF0">
        <w:rPr>
          <w:b/>
          <w:bCs/>
        </w:rPr>
        <w:fldChar w:fldCharType="end"/>
      </w:r>
      <w:r>
        <w:br/>
      </w:r>
      <w:r w:rsidRPr="008339B8">
        <w:t>Estructura de la propuesta de transformación</w:t>
      </w:r>
      <w:bookmarkEnd w:id="2"/>
      <w:r w:rsidRPr="008339B8">
        <w:t xml:space="preserve"> </w:t>
      </w:r>
    </w:p>
    <w:p w14:paraId="6561BC17" w14:textId="77777777" w:rsidR="00677CC1" w:rsidRDefault="00677CC1" w:rsidP="00677CC1">
      <w:pPr>
        <w:rPr>
          <w:noProof/>
        </w:rPr>
      </w:pPr>
      <w:r>
        <w:rPr>
          <w:noProof/>
        </w:rPr>
        <w:drawing>
          <wp:inline distT="0" distB="0" distL="0" distR="0" wp14:anchorId="71799EA3" wp14:editId="61C7BCB6">
            <wp:extent cx="5431790" cy="3168650"/>
            <wp:effectExtent l="0" t="0" r="0" b="0"/>
            <wp:docPr id="2078425021" name="Diagrama 207842502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 r:lo="rId6" r:qs="rId7" r:cs="rId8"/>
              </a:graphicData>
            </a:graphic>
          </wp:inline>
        </w:drawing>
      </w:r>
    </w:p>
    <w:p w14:paraId="2903F9B0" w14:textId="77777777" w:rsidR="00BF7D4F" w:rsidRDefault="00BF7D4F" w:rsidP="00BF7D4F">
      <w:pPr>
        <w:pStyle w:val="Ttulo3"/>
        <w:numPr>
          <w:ilvl w:val="2"/>
          <w:numId w:val="1"/>
        </w:numPr>
        <w:tabs>
          <w:tab w:val="num" w:pos="360"/>
        </w:tabs>
        <w:ind w:left="0" w:firstLine="0"/>
        <w:rPr>
          <w:i/>
          <w:iCs/>
        </w:rPr>
      </w:pPr>
      <w:bookmarkStart w:id="3" w:name="_Toc235442627"/>
      <w:r w:rsidRPr="00615627">
        <w:rPr>
          <w:iCs/>
        </w:rPr>
        <w:t>Objetivos Específicos de la Propuesta</w:t>
      </w:r>
      <w:bookmarkEnd w:id="3"/>
    </w:p>
    <w:p w14:paraId="188EA68A" w14:textId="77777777" w:rsidR="00BF7D4F" w:rsidRDefault="00BF7D4F" w:rsidP="00BF7D4F">
      <w:pPr>
        <w:pStyle w:val="APA7"/>
        <w:numPr>
          <w:ilvl w:val="0"/>
          <w:numId w:val="2"/>
        </w:numPr>
      </w:pPr>
      <w:r w:rsidRPr="00BF518C">
        <w:t>Analizar el marco normativo vigente en el Ecuador, a partir del Decreto Ejecutivo 255 (2024) y de los Acuerdos Ministeriales MDT-2024-196 y MDT-2025-122, con el propósito de reconocer peligros y riesgos, y establecer criterios técnico-preventivos aplicables a los procesos constructivos de proyectos de edificación e infraestructura básica en la ciudad de Quito</w:t>
      </w:r>
      <w:r>
        <w:t>.</w:t>
      </w:r>
    </w:p>
    <w:p w14:paraId="3397A831" w14:textId="77777777" w:rsidR="00BF7D4F" w:rsidRDefault="00BF7D4F" w:rsidP="00BF7D4F">
      <w:pPr>
        <w:pStyle w:val="APA7"/>
        <w:numPr>
          <w:ilvl w:val="0"/>
          <w:numId w:val="2"/>
        </w:numPr>
      </w:pPr>
      <w:r w:rsidRPr="00276276">
        <w:t>Diseñar cuestionarios de chequeo como instrumentos de verificación técnica, sustentados en los requisitos legales y técnicos previamente analizados, que permitan determinar de manera objetiva los requisitos técnico-legales por riesgo y los niveles de deficiencia (ND) asociados a los procesos constructivos evaluados</w:t>
      </w:r>
      <w:r w:rsidRPr="00734603">
        <w:t>.</w:t>
      </w:r>
    </w:p>
    <w:p w14:paraId="5C1C3225" w14:textId="77777777" w:rsidR="00BF7D4F" w:rsidRDefault="00BF7D4F" w:rsidP="00BF7D4F">
      <w:pPr>
        <w:pStyle w:val="APA7"/>
        <w:numPr>
          <w:ilvl w:val="0"/>
          <w:numId w:val="2"/>
        </w:numPr>
      </w:pPr>
      <w:r w:rsidRPr="00496BD9">
        <w:t>Estructurar los Análisis de Riesgo en el Trabajo (ART) como herramientas de planificación operativa, integrando la valoración del riesgo por tarea con la definición de controles de ingeniería aplicables, para orientar la mitigación efectiva de los niveles de riesgo en las actividades críticas del proceso constructivo</w:t>
      </w:r>
      <w:r>
        <w:t>.</w:t>
      </w:r>
    </w:p>
    <w:p w14:paraId="40BCA72F" w14:textId="77777777" w:rsidR="00BF7D4F" w:rsidRDefault="00BF7D4F" w:rsidP="00BF7D4F">
      <w:pPr>
        <w:pStyle w:val="Ttulo2"/>
        <w:numPr>
          <w:ilvl w:val="1"/>
          <w:numId w:val="1"/>
        </w:numPr>
        <w:tabs>
          <w:tab w:val="num" w:pos="360"/>
        </w:tabs>
        <w:ind w:left="0" w:firstLine="0"/>
      </w:pPr>
      <w:bookmarkStart w:id="4" w:name="_Toc235442628"/>
      <w:r w:rsidRPr="008B17DE">
        <w:lastRenderedPageBreak/>
        <w:t>Actividades, fases y/o etapas.</w:t>
      </w:r>
      <w:bookmarkEnd w:id="4"/>
    </w:p>
    <w:p w14:paraId="20668593" w14:textId="77777777" w:rsidR="00BF7D4F" w:rsidRPr="000709E2" w:rsidRDefault="00BF7D4F" w:rsidP="00BF7D4F">
      <w:pPr>
        <w:pStyle w:val="APA7"/>
        <w:rPr>
          <w:lang w:val="es"/>
        </w:rPr>
      </w:pPr>
      <w:r w:rsidRPr="000709E2">
        <w:rPr>
          <w:lang w:val="es"/>
        </w:rPr>
        <w:t>La propuesta de transformación se desarrolla mediante una secuencia de actividades organizada en etapas progresivas y articuladas entre sí, coherentes con su fundamentación, estructura y objetivos. Su desarrollo parte de la sistematización del marco normativo vigente, continúa con el diseño de instrumentos de verificación técnica para determinar niveles de deficiencia y se consolida con la valoración del riesgo y la estructuración de Análisis de Riesgo en el Trabajo (ART) integrados con controles de ingeniería para su aplicación operativa en obra. De esta manera, la propuesta vincula el componente técnico-normativo base, los cuestionarios de chequeo y los ART dentro de una secuencia metodológica orientada a la intervención preventiva en los procesos constructivos. Esta lógica se representa de manera sintética en la Figura 14, donde se observa la relación entre las variables de evaluación del riesgo y su traducción en medidas de intervención aplicables en obra.</w:t>
      </w:r>
    </w:p>
    <w:p w14:paraId="181F2788" w14:textId="77777777" w:rsidR="00BF7D4F" w:rsidRPr="000709E2" w:rsidRDefault="00BF7D4F" w:rsidP="00BF7D4F">
      <w:pPr>
        <w:pStyle w:val="APA7"/>
        <w:rPr>
          <w:lang w:val="es"/>
        </w:rPr>
      </w:pPr>
      <w:r w:rsidRPr="000709E2">
        <w:rPr>
          <w:lang w:val="es"/>
        </w:rPr>
        <w:t xml:space="preserve">La etapa 1 corresponde a la sistematización y análisis del marco normativo vigente en el Ecuador. En esta fase se recopilan, organizan e interpretan los requisitos técnico-legales establecidos en el </w:t>
      </w:r>
      <w:r>
        <w:t xml:space="preserve">D.E. </w:t>
      </w:r>
      <w:r w:rsidRPr="00BC2EAE">
        <w:t>255</w:t>
      </w:r>
      <w:r>
        <w:t>-</w:t>
      </w:r>
      <w:r w:rsidRPr="00BC2EAE">
        <w:t>2024</w:t>
      </w:r>
      <w:r>
        <w:t xml:space="preserve"> </w:t>
      </w:r>
      <w:r w:rsidRPr="000709E2">
        <w:rPr>
          <w:lang w:val="es"/>
        </w:rPr>
        <w:t xml:space="preserve">y en los </w:t>
      </w:r>
      <w:r>
        <w:rPr>
          <w:lang w:val="es"/>
        </w:rPr>
        <w:t>AM-</w:t>
      </w:r>
      <w:r w:rsidRPr="000709E2">
        <w:rPr>
          <w:lang w:val="es"/>
        </w:rPr>
        <w:t xml:space="preserve">MDT-2024-196 y </w:t>
      </w:r>
      <w:r>
        <w:rPr>
          <w:lang w:val="es"/>
        </w:rPr>
        <w:t>AM-</w:t>
      </w:r>
      <w:r w:rsidRPr="000709E2">
        <w:rPr>
          <w:lang w:val="es"/>
        </w:rPr>
        <w:t>MDT-2025-122, con el propósito de establecer su correspondencia con los procesos constructivos y con los riesgos de seguridad laboral identificados en situaciones de peligro. Esta etapa constituye la base técnica y normativa de la propuesta, al proporcionar los criterios necesarios para reconocer peligros, interpretar condiciones de trabajo y orientar la intervención preventiva en proyectos de edificación e infraestructura básica.</w:t>
      </w:r>
    </w:p>
    <w:p w14:paraId="7E3C38AF" w14:textId="77777777" w:rsidR="00BF7D4F" w:rsidRPr="000709E2" w:rsidRDefault="00BF7D4F" w:rsidP="00BF7D4F">
      <w:pPr>
        <w:pStyle w:val="APA7"/>
        <w:rPr>
          <w:lang w:val="es"/>
        </w:rPr>
      </w:pPr>
      <w:r w:rsidRPr="000709E2">
        <w:rPr>
          <w:lang w:val="es"/>
        </w:rPr>
        <w:t>La etapa 2 se orienta al diseño de cuestionarios de chequeo como instrumentos de verificación técnica, elaborados a partir de los requisitos legales previamente sistematizados y de los criterios metodológicos de la NTP 324. Estos instrumentos permiten transformar los criterios normativos en variables observables en campo, facilitando la identificación de condiciones inseguras y la determinación objetiva de los niveles de deficiencia (ND) asociados a los factores de riesgo presentes en los procesos constructivos evaluados. A partir de la información obtenida mediante estos cuestionarios, se incorporan las variables de nivel de exposición (NE) y nivel de consecuencia (NC), cuya relación con el nivel de deficiencia permite establecer el nivel de riesgo (NR).</w:t>
      </w:r>
    </w:p>
    <w:p w14:paraId="67579F30" w14:textId="77777777" w:rsidR="00BF7D4F" w:rsidRPr="000709E2" w:rsidRDefault="00BF7D4F" w:rsidP="00BF7D4F">
      <w:pPr>
        <w:pStyle w:val="APA7"/>
        <w:rPr>
          <w:lang w:val="es"/>
        </w:rPr>
      </w:pPr>
      <w:r w:rsidRPr="000709E2">
        <w:rPr>
          <w:lang w:val="es"/>
        </w:rPr>
        <w:lastRenderedPageBreak/>
        <w:t>La etapa 3 corresponde a la valoración cuantitativa del riesgo y a la definición de la respuesta operativa. En esta etapa, la aplicación de la metodología NTP 330 permite jerarquizar los riesgos identificados y establecer prioridades de intervención técnica en función de la criticidad de cada proceso constructivo. Sobre esta base, se estructuran los Análisis de Riesgo en el Trabajo (ART) como herramientas de planificación operativa, integrando la priorización de intervención con la definición de controles de ingeniería orientados a intervenir sobre la fuente del peligro, el medio de exposición o las condiciones de ejecución del trabajo. De este modo, los ART permiten transformar los resultados del diagnóstico y de la valoración del riesgo en medidas técnicas aplicables en obra para la mitigación efectiva de los niveles de riesgo identificados, tal como se representa en la secuencia final de la Figura 14.</w:t>
      </w:r>
    </w:p>
    <w:p w14:paraId="2782D9F8" w14:textId="77777777" w:rsidR="00BF7D4F" w:rsidRDefault="00BF7D4F" w:rsidP="00BF7D4F">
      <w:pPr>
        <w:pStyle w:val="APA7"/>
        <w:rPr>
          <w:lang w:val="es"/>
        </w:rPr>
      </w:pPr>
      <w:r w:rsidRPr="000709E2">
        <w:rPr>
          <w:lang w:val="es"/>
        </w:rPr>
        <w:t>En conjunto, estas etapas configuran una secuencia metodológica que articula análisis normativo, verificación técnica, evaluación cuantitativa e intervención operativa. Su organización responde al objetivo general de la propuesta, al permitir estructurar una transformación orientada al fortalecimiento de la gestión preventiva en proyectos de construcción de edificaciones e infraestructura básica en la ciudad de Quito. En este sentido, la propuesta establece una ruta técnica para definir y aplicar controles de ingeniería que contribuyan a mejorar las condiciones de seguridad y fortalecer la gestión preventiva en obra.</w:t>
      </w:r>
    </w:p>
    <w:p w14:paraId="407E7018" w14:textId="77777777" w:rsidR="00BF7D4F" w:rsidRDefault="00BF7D4F" w:rsidP="00BF7D4F">
      <w:pPr>
        <w:pStyle w:val="Ttulo2"/>
        <w:numPr>
          <w:ilvl w:val="1"/>
          <w:numId w:val="1"/>
        </w:numPr>
        <w:tabs>
          <w:tab w:val="num" w:pos="360"/>
        </w:tabs>
        <w:ind w:left="0" w:firstLine="0"/>
      </w:pPr>
      <w:bookmarkStart w:id="5" w:name="_Toc235442629"/>
      <w:r w:rsidRPr="00737522">
        <w:t>Recursos necesarios para la aplicación de la propuesta</w:t>
      </w:r>
      <w:bookmarkEnd w:id="5"/>
    </w:p>
    <w:p w14:paraId="3264F291" w14:textId="4D9F2DCC" w:rsidR="00677CC1" w:rsidRDefault="00BF7D4F" w:rsidP="00BF7D4F">
      <w:r>
        <w:t>La aplicación de la propuesta de transformación requiere un conjunto articulado de recursos normativos, técnicos, metodológicos, operativos y académicos que hagan posible su implementación dentro de proyectos de construcción de edificaciones e infraestructura básica en la ciudad de Quito</w:t>
      </w:r>
    </w:p>
    <w:p w14:paraId="194A63E2" w14:textId="77777777" w:rsidR="00BF7D4F" w:rsidRDefault="00BF7D4F" w:rsidP="00BF7D4F"/>
    <w:p w14:paraId="0319CD8F" w14:textId="77777777" w:rsidR="00BF7D4F" w:rsidRDefault="00BF7D4F" w:rsidP="00BF7D4F">
      <w:pPr>
        <w:pStyle w:val="APA7"/>
      </w:pPr>
      <w:r>
        <w:t xml:space="preserve">En primer lugar, se requieren recursos normativos y documentales, constituidos por los cuerpos legales que sustentan la gestión preventiva en el Ecuador, entre ellos el D.E. </w:t>
      </w:r>
      <w:r w:rsidRPr="00BC2EAE">
        <w:t>255</w:t>
      </w:r>
      <w:r>
        <w:t>-</w:t>
      </w:r>
      <w:r w:rsidRPr="00BC2EAE">
        <w:t>2024</w:t>
      </w:r>
      <w:r>
        <w:t xml:space="preserve">, el AM-MDT-2024-196 con sus anexos y el AM- MDT-2025-122. Estos instrumentos proporcionan los requisitos técnico-legales necesarios para la identificación de peligros, la determinación de exigencias preventivas, la elaboración de cuestionarios de chequeo y la definición de medidas de control aplicables a los procesos constructivos. Su disponibilidad y adecuada interpretación son fundamentales, puesto </w:t>
      </w:r>
      <w:r>
        <w:lastRenderedPageBreak/>
        <w:t>que la propuesta se apoya en la articulación directa entre la normativa vigente y las condiciones reales de trabajo.</w:t>
      </w:r>
    </w:p>
    <w:p w14:paraId="0FEF9A6E" w14:textId="77777777" w:rsidR="00BF7D4F" w:rsidRDefault="00BF7D4F" w:rsidP="00BF7D4F">
      <w:pPr>
        <w:pStyle w:val="APA7"/>
      </w:pPr>
      <w:r>
        <w:t>En segundo lugar, la propuesta requiere recursos técnicos y metodológicos, integrados principalmente por las metodologías NTP 324 y NTP 330, los formatos de verificación técnica, las matrices de evaluación de riesgos, los registros de campo y los formatos estandarizados de ART. Estos recursos permiten traducir la información normativa y observacional en instrumentos operativos capaces de determinar niveles de deficiencia, valorar niveles de riesgo y estructurar controles de ingeniería aplicables a tareas críticas. De igual manera, se consideran necesarios medios de procesamiento y organización de información, tales como hojas de cálculo, matrices comparativas y registros sistemáticos de datos, que faciliten la trazabilidad y el análisis técnico de los resultados obtenidos.</w:t>
      </w:r>
    </w:p>
    <w:p w14:paraId="76041945" w14:textId="77777777" w:rsidR="00BF7D4F" w:rsidRDefault="00BF7D4F" w:rsidP="00BF7D4F">
      <w:pPr>
        <w:pStyle w:val="APA7"/>
      </w:pPr>
      <w:r>
        <w:t>Asimismo, son necesarios recursos operativos y humanos que permitan la aplicación efectiva de la propuesta en obra. Entre ellos se incluyen personal técnico competente en seguridad y salud en el trabajo, responsables de obra, supervisores, fiscalizadores y demás actores vinculados con la ejecución y control del proyecto. También se requiere acceso a los frentes de trabajo, autorización institucional para la aplicación de instrumentos, disponibilidad de observación directa en campo y mecanismos de coordinación que posibiliten el levantamiento de información y la verificación de condiciones de seguridad. La participación de estos actores resulta esencial, debido a que la propuesta se apoya en la interacción entre los procesos de dirección del proyecto y la gestión preventiva.</w:t>
      </w:r>
    </w:p>
    <w:p w14:paraId="0B933F17" w14:textId="164A5C76" w:rsidR="00BF7D4F" w:rsidRPr="00BF7D4F" w:rsidRDefault="00BF7D4F" w:rsidP="00BF7D4F">
      <w:pPr>
        <w:rPr>
          <w:lang w:val="es"/>
        </w:rPr>
      </w:pPr>
      <w:r>
        <w:t>De manera complementaria, la aplicación de la propuesta demanda recursos académicos y científicos, conformados por literatura especializada, antecedentes investigativos, publicaciones indexadas y documentos técnicos relacionados con prevención de riesgos laborales, gestión de proyectos, seguridad y salud en el trabajo y controles de ingeniería. Este sustento fortalece la consistencia conceptual y metodológica de la propuesta, además de respaldar la pertinencia de su estructura como estrategia metodológica orientada a la intervención preventiva en proyectos de construcción.</w:t>
      </w:r>
    </w:p>
    <w:sectPr w:rsidR="00BF7D4F" w:rsidRPr="00BF7D4F">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73C87"/>
    <w:multiLevelType w:val="hybridMultilevel"/>
    <w:tmpl w:val="956E01D4"/>
    <w:lvl w:ilvl="0" w:tplc="B9545DC6">
      <w:numFmt w:val="bullet"/>
      <w:lvlText w:val="-"/>
      <w:lvlJc w:val="left"/>
      <w:pPr>
        <w:ind w:left="360" w:hanging="360"/>
      </w:pPr>
      <w:rPr>
        <w:rFonts w:ascii="Arial" w:eastAsia="Arial" w:hAnsi="Arial" w:cs="Arial" w:hint="default"/>
      </w:rPr>
    </w:lvl>
    <w:lvl w:ilvl="1" w:tplc="300A0003" w:tentative="1">
      <w:start w:val="1"/>
      <w:numFmt w:val="bullet"/>
      <w:lvlText w:val="o"/>
      <w:lvlJc w:val="left"/>
      <w:pPr>
        <w:ind w:left="1080" w:hanging="360"/>
      </w:pPr>
      <w:rPr>
        <w:rFonts w:ascii="Courier New" w:hAnsi="Courier New" w:cs="Courier New" w:hint="default"/>
      </w:rPr>
    </w:lvl>
    <w:lvl w:ilvl="2" w:tplc="300A0005" w:tentative="1">
      <w:start w:val="1"/>
      <w:numFmt w:val="bullet"/>
      <w:lvlText w:val=""/>
      <w:lvlJc w:val="left"/>
      <w:pPr>
        <w:ind w:left="1800" w:hanging="360"/>
      </w:pPr>
      <w:rPr>
        <w:rFonts w:ascii="Wingdings" w:hAnsi="Wingdings" w:hint="default"/>
      </w:rPr>
    </w:lvl>
    <w:lvl w:ilvl="3" w:tplc="300A0001" w:tentative="1">
      <w:start w:val="1"/>
      <w:numFmt w:val="bullet"/>
      <w:lvlText w:val=""/>
      <w:lvlJc w:val="left"/>
      <w:pPr>
        <w:ind w:left="2520" w:hanging="360"/>
      </w:pPr>
      <w:rPr>
        <w:rFonts w:ascii="Symbol" w:hAnsi="Symbol" w:hint="default"/>
      </w:rPr>
    </w:lvl>
    <w:lvl w:ilvl="4" w:tplc="300A0003" w:tentative="1">
      <w:start w:val="1"/>
      <w:numFmt w:val="bullet"/>
      <w:lvlText w:val="o"/>
      <w:lvlJc w:val="left"/>
      <w:pPr>
        <w:ind w:left="3240" w:hanging="360"/>
      </w:pPr>
      <w:rPr>
        <w:rFonts w:ascii="Courier New" w:hAnsi="Courier New" w:cs="Courier New" w:hint="default"/>
      </w:rPr>
    </w:lvl>
    <w:lvl w:ilvl="5" w:tplc="300A0005" w:tentative="1">
      <w:start w:val="1"/>
      <w:numFmt w:val="bullet"/>
      <w:lvlText w:val=""/>
      <w:lvlJc w:val="left"/>
      <w:pPr>
        <w:ind w:left="3960" w:hanging="360"/>
      </w:pPr>
      <w:rPr>
        <w:rFonts w:ascii="Wingdings" w:hAnsi="Wingdings" w:hint="default"/>
      </w:rPr>
    </w:lvl>
    <w:lvl w:ilvl="6" w:tplc="300A0001" w:tentative="1">
      <w:start w:val="1"/>
      <w:numFmt w:val="bullet"/>
      <w:lvlText w:val=""/>
      <w:lvlJc w:val="left"/>
      <w:pPr>
        <w:ind w:left="4680" w:hanging="360"/>
      </w:pPr>
      <w:rPr>
        <w:rFonts w:ascii="Symbol" w:hAnsi="Symbol" w:hint="default"/>
      </w:rPr>
    </w:lvl>
    <w:lvl w:ilvl="7" w:tplc="300A0003" w:tentative="1">
      <w:start w:val="1"/>
      <w:numFmt w:val="bullet"/>
      <w:lvlText w:val="o"/>
      <w:lvlJc w:val="left"/>
      <w:pPr>
        <w:ind w:left="5400" w:hanging="360"/>
      </w:pPr>
      <w:rPr>
        <w:rFonts w:ascii="Courier New" w:hAnsi="Courier New" w:cs="Courier New" w:hint="default"/>
      </w:rPr>
    </w:lvl>
    <w:lvl w:ilvl="8" w:tplc="300A0005" w:tentative="1">
      <w:start w:val="1"/>
      <w:numFmt w:val="bullet"/>
      <w:lvlText w:val=""/>
      <w:lvlJc w:val="left"/>
      <w:pPr>
        <w:ind w:left="6120" w:hanging="360"/>
      </w:pPr>
      <w:rPr>
        <w:rFonts w:ascii="Wingdings" w:hAnsi="Wingdings" w:hint="default"/>
      </w:rPr>
    </w:lvl>
  </w:abstractNum>
  <w:abstractNum w:abstractNumId="1" w15:restartNumberingAfterBreak="0">
    <w:nsid w:val="654E2719"/>
    <w:multiLevelType w:val="multilevel"/>
    <w:tmpl w:val="99803E4A"/>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b/>
        <w:bCs w:val="0"/>
        <w:i w:val="0"/>
        <w:iCs w:val="0"/>
      </w:rPr>
    </w:lvl>
    <w:lvl w:ilvl="3">
      <w:start w:val="1"/>
      <w:numFmt w:val="decimal"/>
      <w:lvlText w:val="%1.%2.%3.%4."/>
      <w:lvlJc w:val="left"/>
      <w:pPr>
        <w:ind w:left="720" w:hanging="720"/>
      </w:pPr>
      <w:rPr>
        <w:rFonts w:hint="default"/>
        <w:b/>
        <w:bCs/>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1510414668">
    <w:abstractNumId w:val="1"/>
  </w:num>
  <w:num w:numId="2" w16cid:durableId="19025188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7CC1"/>
    <w:rsid w:val="0042167A"/>
    <w:rsid w:val="004500FF"/>
    <w:rsid w:val="00592CD1"/>
    <w:rsid w:val="00677CC1"/>
    <w:rsid w:val="009C094D"/>
    <w:rsid w:val="00BF7D4F"/>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079C93"/>
  <w15:chartTrackingRefBased/>
  <w15:docId w15:val="{9010B3EC-2E99-4138-AA55-BC25F74221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C"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677C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677CC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677CC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77CC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77CC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77CC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77CC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77CC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77CC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77CC1"/>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677CC1"/>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677CC1"/>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677CC1"/>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77CC1"/>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77CC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77CC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77CC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77CC1"/>
    <w:rPr>
      <w:rFonts w:eastAsiaTheme="majorEastAsia" w:cstheme="majorBidi"/>
      <w:color w:val="272727" w:themeColor="text1" w:themeTint="D8"/>
    </w:rPr>
  </w:style>
  <w:style w:type="paragraph" w:styleId="Ttulo">
    <w:name w:val="Title"/>
    <w:basedOn w:val="Normal"/>
    <w:next w:val="Normal"/>
    <w:link w:val="TtuloCar"/>
    <w:uiPriority w:val="10"/>
    <w:qFormat/>
    <w:rsid w:val="00677C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77CC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77CC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77CC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77CC1"/>
    <w:pPr>
      <w:spacing w:before="160"/>
      <w:jc w:val="center"/>
    </w:pPr>
    <w:rPr>
      <w:i/>
      <w:iCs/>
      <w:color w:val="404040" w:themeColor="text1" w:themeTint="BF"/>
    </w:rPr>
  </w:style>
  <w:style w:type="character" w:customStyle="1" w:styleId="CitaCar">
    <w:name w:val="Cita Car"/>
    <w:basedOn w:val="Fuentedeprrafopredeter"/>
    <w:link w:val="Cita"/>
    <w:uiPriority w:val="29"/>
    <w:rsid w:val="00677CC1"/>
    <w:rPr>
      <w:i/>
      <w:iCs/>
      <w:color w:val="404040" w:themeColor="text1" w:themeTint="BF"/>
    </w:rPr>
  </w:style>
  <w:style w:type="paragraph" w:styleId="Prrafodelista">
    <w:name w:val="List Paragraph"/>
    <w:basedOn w:val="Normal"/>
    <w:uiPriority w:val="34"/>
    <w:qFormat/>
    <w:rsid w:val="00677CC1"/>
    <w:pPr>
      <w:ind w:left="720"/>
      <w:contextualSpacing/>
    </w:pPr>
  </w:style>
  <w:style w:type="character" w:styleId="nfasisintenso">
    <w:name w:val="Intense Emphasis"/>
    <w:basedOn w:val="Fuentedeprrafopredeter"/>
    <w:uiPriority w:val="21"/>
    <w:qFormat/>
    <w:rsid w:val="00677CC1"/>
    <w:rPr>
      <w:i/>
      <w:iCs/>
      <w:color w:val="0F4761" w:themeColor="accent1" w:themeShade="BF"/>
    </w:rPr>
  </w:style>
  <w:style w:type="paragraph" w:styleId="Citadestacada">
    <w:name w:val="Intense Quote"/>
    <w:basedOn w:val="Normal"/>
    <w:next w:val="Normal"/>
    <w:link w:val="CitadestacadaCar"/>
    <w:uiPriority w:val="30"/>
    <w:qFormat/>
    <w:rsid w:val="00677C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77CC1"/>
    <w:rPr>
      <w:i/>
      <w:iCs/>
      <w:color w:val="0F4761" w:themeColor="accent1" w:themeShade="BF"/>
    </w:rPr>
  </w:style>
  <w:style w:type="character" w:styleId="Referenciaintensa">
    <w:name w:val="Intense Reference"/>
    <w:basedOn w:val="Fuentedeprrafopredeter"/>
    <w:uiPriority w:val="32"/>
    <w:qFormat/>
    <w:rsid w:val="00677CC1"/>
    <w:rPr>
      <w:b/>
      <w:bCs/>
      <w:smallCaps/>
      <w:color w:val="0F4761" w:themeColor="accent1" w:themeShade="BF"/>
      <w:spacing w:val="5"/>
    </w:rPr>
  </w:style>
  <w:style w:type="paragraph" w:customStyle="1" w:styleId="APA7">
    <w:name w:val="APA7"/>
    <w:basedOn w:val="Normal"/>
    <w:link w:val="APA7Car"/>
    <w:qFormat/>
    <w:rsid w:val="00677CC1"/>
    <w:pPr>
      <w:spacing w:before="240" w:after="240" w:line="360" w:lineRule="auto"/>
      <w:ind w:firstLine="720"/>
    </w:pPr>
    <w:rPr>
      <w:rFonts w:ascii="Times New Roman" w:eastAsia="Times New Roman" w:hAnsi="Times New Roman" w:cs="Times New Roman"/>
      <w:kern w:val="0"/>
      <w:lang w:eastAsia="es-MX"/>
      <w14:ligatures w14:val="none"/>
    </w:rPr>
  </w:style>
  <w:style w:type="character" w:customStyle="1" w:styleId="APA7Car">
    <w:name w:val="APA7 Car"/>
    <w:basedOn w:val="Fuentedeprrafopredeter"/>
    <w:link w:val="APA7"/>
    <w:rsid w:val="00677CC1"/>
    <w:rPr>
      <w:rFonts w:ascii="Times New Roman" w:eastAsia="Times New Roman" w:hAnsi="Times New Roman" w:cs="Times New Roman"/>
      <w:kern w:val="0"/>
      <w:lang w:eastAsia="es-MX"/>
      <w14:ligatures w14:val="none"/>
    </w:rPr>
  </w:style>
  <w:style w:type="paragraph" w:styleId="Descripcin">
    <w:name w:val="caption"/>
    <w:basedOn w:val="Normal"/>
    <w:next w:val="Normal"/>
    <w:link w:val="DescripcinCar"/>
    <w:uiPriority w:val="35"/>
    <w:unhideWhenUsed/>
    <w:qFormat/>
    <w:rsid w:val="00677CC1"/>
    <w:pPr>
      <w:spacing w:before="240" w:after="240" w:line="360" w:lineRule="auto"/>
    </w:pPr>
    <w:rPr>
      <w:rFonts w:ascii="Times New Roman" w:eastAsia="Times New Roman" w:hAnsi="Times New Roman" w:cs="Times New Roman"/>
      <w:iCs/>
      <w:kern w:val="0"/>
      <w:szCs w:val="18"/>
      <w:lang w:eastAsia="es-MX"/>
      <w14:ligatures w14:val="none"/>
    </w:rPr>
  </w:style>
  <w:style w:type="character" w:customStyle="1" w:styleId="DescripcinCar">
    <w:name w:val="Descripción Car"/>
    <w:basedOn w:val="Fuentedeprrafopredeter"/>
    <w:link w:val="Descripcin"/>
    <w:uiPriority w:val="35"/>
    <w:rsid w:val="00677CC1"/>
    <w:rPr>
      <w:rFonts w:ascii="Times New Roman" w:eastAsia="Times New Roman" w:hAnsi="Times New Roman" w:cs="Times New Roman"/>
      <w:iCs/>
      <w:kern w:val="0"/>
      <w:szCs w:val="18"/>
      <w:lang w:eastAsia="es-MX"/>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diagramColors" Target="diagrams/colors1.xml"/><Relationship Id="rId3" Type="http://schemas.openxmlformats.org/officeDocument/2006/relationships/settings" Target="settings.xml"/><Relationship Id="rId7" Type="http://schemas.openxmlformats.org/officeDocument/2006/relationships/diagramQuickStyle" Target="diagrams/quickStyl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diagramLayout" Target="diagrams/layout1.xml"/><Relationship Id="rId11" Type="http://schemas.openxmlformats.org/officeDocument/2006/relationships/theme" Target="theme/theme1.xml"/><Relationship Id="rId5" Type="http://schemas.openxmlformats.org/officeDocument/2006/relationships/diagramData" Target="diagrams/data1.xml"/><Relationship Id="rId10" Type="http://schemas.openxmlformats.org/officeDocument/2006/relationships/fontTable" Target="fontTable.xml"/><Relationship Id="rId4" Type="http://schemas.openxmlformats.org/officeDocument/2006/relationships/webSettings" Target="webSettings.xml"/><Relationship Id="rId9" Type="http://schemas.microsoft.com/office/2007/relationships/diagramDrawing" Target="diagrams/drawing1.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F195D25D-D31D-4618-AB8D-C69482DAE88A}" type="doc">
      <dgm:prSet loTypeId="urn:microsoft.com/office/officeart/2008/layout/HorizontalMultiLevelHierarchy" loCatId="hierarchy" qsTypeId="urn:microsoft.com/office/officeart/2005/8/quickstyle/simple1" qsCatId="simple" csTypeId="urn:microsoft.com/office/officeart/2005/8/colors/accent1_2" csCatId="accent1" phldr="1"/>
      <dgm:spPr/>
      <dgm:t>
        <a:bodyPr/>
        <a:lstStyle/>
        <a:p>
          <a:endParaRPr lang="es-EC"/>
        </a:p>
      </dgm:t>
    </dgm:pt>
    <dgm:pt modelId="{E018E34B-F664-4373-80BF-ED2D82677996}">
      <dgm:prSet phldrT="[Texto]" custT="1"/>
      <dgm:spPr>
        <a:noFill/>
        <a:ln w="12700">
          <a:noFill/>
        </a:ln>
      </dgm:spPr>
      <dgm:t>
        <a:bodyPr/>
        <a:lstStyle/>
        <a:p>
          <a:r>
            <a:rPr lang="es-EC" sz="1000" b="1">
              <a:solidFill>
                <a:sysClr val="windowText" lastClr="000000"/>
              </a:solidFill>
              <a:latin typeface="Times New Roman" panose="02020603050405020304" pitchFamily="18" charset="0"/>
              <a:cs typeface="Times New Roman" panose="02020603050405020304" pitchFamily="18" charset="0"/>
            </a:rPr>
            <a:t>Estructura de la estrategia metodológica propuesta</a:t>
          </a:r>
        </a:p>
      </dgm:t>
    </dgm:pt>
    <dgm:pt modelId="{9BDFFEF8-957D-45AD-86C3-BF835C92A5C7}" type="parTrans" cxnId="{11B71B96-991B-46E1-96DB-DDC42E4EAED8}">
      <dgm:prSet/>
      <dgm:spPr/>
      <dgm:t>
        <a:bodyPr/>
        <a:lstStyle/>
        <a:p>
          <a:endParaRPr lang="es-EC">
            <a:solidFill>
              <a:sysClr val="windowText" lastClr="000000"/>
            </a:solidFill>
          </a:endParaRPr>
        </a:p>
      </dgm:t>
    </dgm:pt>
    <dgm:pt modelId="{2C18DBBD-35B6-424B-9949-44096FAAD5EB}" type="sibTrans" cxnId="{11B71B96-991B-46E1-96DB-DDC42E4EAED8}">
      <dgm:prSet/>
      <dgm:spPr/>
      <dgm:t>
        <a:bodyPr/>
        <a:lstStyle/>
        <a:p>
          <a:endParaRPr lang="es-EC">
            <a:solidFill>
              <a:sysClr val="windowText" lastClr="000000"/>
            </a:solidFill>
          </a:endParaRPr>
        </a:p>
      </dgm:t>
    </dgm:pt>
    <dgm:pt modelId="{D4C5781B-0E57-4197-B9EC-A61F738A23CD}">
      <dgm:prSet custT="1"/>
      <dgm:spPr>
        <a:noFill/>
        <a:ln w="12700">
          <a:noFill/>
        </a:ln>
      </dgm:spPr>
      <dgm:t>
        <a:bodyPr/>
        <a:lstStyle/>
        <a:p>
          <a:r>
            <a:rPr lang="es-EC" sz="1000" b="1">
              <a:solidFill>
                <a:sysClr val="windowText" lastClr="000000"/>
              </a:solidFill>
              <a:latin typeface="Times New Roman" panose="02020603050405020304" pitchFamily="18" charset="0"/>
              <a:cs typeface="Times New Roman" panose="02020603050405020304" pitchFamily="18" charset="0"/>
            </a:rPr>
            <a:t>Componente técnico – normativo base</a:t>
          </a:r>
        </a:p>
      </dgm:t>
    </dgm:pt>
    <dgm:pt modelId="{27A945B9-2254-43A4-B29F-C3A07BB63353}" type="parTrans" cxnId="{4098A1B7-F33F-469A-BCCA-8A650D4E1B9E}">
      <dgm:prSet/>
      <dgm:spPr>
        <a:noFill/>
        <a:ln w="12700">
          <a:solidFill>
            <a:schemeClr val="bg1">
              <a:lumMod val="75000"/>
            </a:schemeClr>
          </a:solidFill>
          <a:tailEnd type="triangle" w="lg" len="med"/>
        </a:ln>
      </dgm:spPr>
      <dgm:t>
        <a:bodyPr/>
        <a:lstStyle/>
        <a:p>
          <a:endParaRPr lang="es-EC">
            <a:solidFill>
              <a:sysClr val="windowText" lastClr="000000"/>
            </a:solidFill>
          </a:endParaRPr>
        </a:p>
      </dgm:t>
    </dgm:pt>
    <dgm:pt modelId="{D9AEBB3F-1638-4E96-8464-6044A0B65221}" type="sibTrans" cxnId="{4098A1B7-F33F-469A-BCCA-8A650D4E1B9E}">
      <dgm:prSet/>
      <dgm:spPr/>
      <dgm:t>
        <a:bodyPr/>
        <a:lstStyle/>
        <a:p>
          <a:endParaRPr lang="es-EC">
            <a:solidFill>
              <a:sysClr val="windowText" lastClr="000000"/>
            </a:solidFill>
          </a:endParaRPr>
        </a:p>
      </dgm:t>
    </dgm:pt>
    <dgm:pt modelId="{938EF223-4242-4EB8-B262-DC071BC6385E}">
      <dgm:prSet custT="1"/>
      <dgm:spPr>
        <a:noFill/>
        <a:ln w="12700">
          <a:noFill/>
        </a:ln>
      </dgm:spPr>
      <dgm:t>
        <a:bodyPr/>
        <a:lstStyle/>
        <a:p>
          <a:r>
            <a:rPr lang="es-EC" sz="1000">
              <a:solidFill>
                <a:sysClr val="windowText" lastClr="000000"/>
              </a:solidFill>
              <a:latin typeface="Times New Roman" panose="02020603050405020304" pitchFamily="18" charset="0"/>
              <a:cs typeface="Times New Roman" panose="02020603050405020304" pitchFamily="18" charset="0"/>
            </a:rPr>
            <a:t>Reconocimiento de peligros/riesgos</a:t>
          </a:r>
        </a:p>
      </dgm:t>
    </dgm:pt>
    <dgm:pt modelId="{FC40F97C-9EB5-4D20-A894-57A2822B0158}" type="parTrans" cxnId="{60EF08A9-B885-44BF-A582-22F3ED4CCDDA}">
      <dgm:prSet/>
      <dgm:spPr>
        <a:noFill/>
        <a:ln w="12700">
          <a:solidFill>
            <a:schemeClr val="bg1">
              <a:lumMod val="75000"/>
            </a:schemeClr>
          </a:solidFill>
          <a:tailEnd type="triangle" w="lg" len="med"/>
        </a:ln>
      </dgm:spPr>
      <dgm:t>
        <a:bodyPr/>
        <a:lstStyle/>
        <a:p>
          <a:endParaRPr lang="es-EC">
            <a:solidFill>
              <a:sysClr val="windowText" lastClr="000000"/>
            </a:solidFill>
          </a:endParaRPr>
        </a:p>
      </dgm:t>
    </dgm:pt>
    <dgm:pt modelId="{FB171C55-2C63-4B6A-B176-A95072C6D829}" type="sibTrans" cxnId="{60EF08A9-B885-44BF-A582-22F3ED4CCDDA}">
      <dgm:prSet/>
      <dgm:spPr/>
      <dgm:t>
        <a:bodyPr/>
        <a:lstStyle/>
        <a:p>
          <a:endParaRPr lang="es-EC">
            <a:solidFill>
              <a:sysClr val="windowText" lastClr="000000"/>
            </a:solidFill>
          </a:endParaRPr>
        </a:p>
      </dgm:t>
    </dgm:pt>
    <dgm:pt modelId="{4520E199-4597-42E3-B4BD-E72A1FF02615}">
      <dgm:prSet custT="1"/>
      <dgm:spPr>
        <a:noFill/>
        <a:ln w="12700">
          <a:noFill/>
        </a:ln>
      </dgm:spPr>
      <dgm:t>
        <a:bodyPr/>
        <a:lstStyle/>
        <a:p>
          <a:r>
            <a:rPr lang="es-EC" sz="1000">
              <a:solidFill>
                <a:sysClr val="windowText" lastClr="000000"/>
              </a:solidFill>
              <a:latin typeface="Times New Roman" panose="02020603050405020304" pitchFamily="18" charset="0"/>
              <a:cs typeface="Times New Roman" panose="02020603050405020304" pitchFamily="18" charset="0"/>
            </a:rPr>
            <a:t>Criterios preventiva acorde a peligros/riesgos</a:t>
          </a:r>
        </a:p>
      </dgm:t>
    </dgm:pt>
    <dgm:pt modelId="{822EDA74-9E07-42B1-9410-9FB2F3A56A88}" type="parTrans" cxnId="{F8F51E60-11C6-4522-A25C-F056281CBD75}">
      <dgm:prSet/>
      <dgm:spPr>
        <a:noFill/>
        <a:ln w="12700">
          <a:solidFill>
            <a:schemeClr val="bg1">
              <a:lumMod val="75000"/>
            </a:schemeClr>
          </a:solidFill>
          <a:tailEnd type="triangle" w="lg" len="med"/>
        </a:ln>
      </dgm:spPr>
      <dgm:t>
        <a:bodyPr/>
        <a:lstStyle/>
        <a:p>
          <a:endParaRPr lang="es-EC">
            <a:solidFill>
              <a:sysClr val="windowText" lastClr="000000"/>
            </a:solidFill>
          </a:endParaRPr>
        </a:p>
      </dgm:t>
    </dgm:pt>
    <dgm:pt modelId="{E296DFEA-B68D-4F07-A36F-60CFA10E051F}" type="sibTrans" cxnId="{F8F51E60-11C6-4522-A25C-F056281CBD75}">
      <dgm:prSet/>
      <dgm:spPr/>
      <dgm:t>
        <a:bodyPr/>
        <a:lstStyle/>
        <a:p>
          <a:endParaRPr lang="es-EC">
            <a:solidFill>
              <a:sysClr val="windowText" lastClr="000000"/>
            </a:solidFill>
          </a:endParaRPr>
        </a:p>
      </dgm:t>
    </dgm:pt>
    <dgm:pt modelId="{DCA5802A-87E3-4CF2-B51A-72AA27D58880}">
      <dgm:prSet custT="1"/>
      <dgm:spPr>
        <a:noFill/>
        <a:ln w="12700">
          <a:noFill/>
        </a:ln>
      </dgm:spPr>
      <dgm:t>
        <a:bodyPr/>
        <a:lstStyle/>
        <a:p>
          <a:r>
            <a:rPr lang="es-EC" sz="1000" b="1">
              <a:solidFill>
                <a:sysClr val="windowText" lastClr="000000"/>
              </a:solidFill>
              <a:latin typeface="Times New Roman" panose="02020603050405020304" pitchFamily="18" charset="0"/>
              <a:cs typeface="Times New Roman" panose="02020603050405020304" pitchFamily="18" charset="0"/>
            </a:rPr>
            <a:t>Cuestionarios de chequeo</a:t>
          </a:r>
        </a:p>
      </dgm:t>
    </dgm:pt>
    <dgm:pt modelId="{5EFC20E5-D77B-4213-BF86-C110C1890346}" type="parTrans" cxnId="{B3EDCA16-DB32-435E-BAD8-70F6E18EC50D}">
      <dgm:prSet/>
      <dgm:spPr>
        <a:noFill/>
        <a:ln w="12700">
          <a:solidFill>
            <a:schemeClr val="bg1">
              <a:lumMod val="75000"/>
            </a:schemeClr>
          </a:solidFill>
          <a:tailEnd type="triangle" w="lg" len="med"/>
        </a:ln>
      </dgm:spPr>
      <dgm:t>
        <a:bodyPr/>
        <a:lstStyle/>
        <a:p>
          <a:endParaRPr lang="es-EC">
            <a:solidFill>
              <a:sysClr val="windowText" lastClr="000000"/>
            </a:solidFill>
          </a:endParaRPr>
        </a:p>
      </dgm:t>
    </dgm:pt>
    <dgm:pt modelId="{5D6190D6-E8AB-44A1-8D7C-D263843ABD01}" type="sibTrans" cxnId="{B3EDCA16-DB32-435E-BAD8-70F6E18EC50D}">
      <dgm:prSet/>
      <dgm:spPr/>
      <dgm:t>
        <a:bodyPr/>
        <a:lstStyle/>
        <a:p>
          <a:endParaRPr lang="es-EC">
            <a:solidFill>
              <a:sysClr val="windowText" lastClr="000000"/>
            </a:solidFill>
          </a:endParaRPr>
        </a:p>
      </dgm:t>
    </dgm:pt>
    <dgm:pt modelId="{6C4FB359-F462-4D69-BBAA-52DCC33964FA}">
      <dgm:prSet custT="1"/>
      <dgm:spPr>
        <a:noFill/>
        <a:ln w="12700">
          <a:noFill/>
        </a:ln>
      </dgm:spPr>
      <dgm:t>
        <a:bodyPr/>
        <a:lstStyle/>
        <a:p>
          <a:r>
            <a:rPr lang="es-EC" sz="1000">
              <a:solidFill>
                <a:sysClr val="windowText" lastClr="000000"/>
              </a:solidFill>
              <a:latin typeface="Times New Roman" panose="02020603050405020304" pitchFamily="18" charset="0"/>
              <a:cs typeface="Times New Roman" panose="02020603050405020304" pitchFamily="18" charset="0"/>
            </a:rPr>
            <a:t>Determinación de requisitos técnico-legales por riesgo</a:t>
          </a:r>
        </a:p>
      </dgm:t>
    </dgm:pt>
    <dgm:pt modelId="{106BCDB1-21E3-4A25-AE87-4E84441D15F3}" type="parTrans" cxnId="{13C33D24-982B-4EE8-B498-E84D6C563617}">
      <dgm:prSet/>
      <dgm:spPr>
        <a:noFill/>
        <a:ln w="12700">
          <a:solidFill>
            <a:schemeClr val="bg1">
              <a:lumMod val="75000"/>
            </a:schemeClr>
          </a:solidFill>
          <a:tailEnd type="triangle" w="lg" len="med"/>
        </a:ln>
      </dgm:spPr>
      <dgm:t>
        <a:bodyPr/>
        <a:lstStyle/>
        <a:p>
          <a:endParaRPr lang="es-EC">
            <a:solidFill>
              <a:sysClr val="windowText" lastClr="000000"/>
            </a:solidFill>
          </a:endParaRPr>
        </a:p>
      </dgm:t>
    </dgm:pt>
    <dgm:pt modelId="{A7B09C1F-24B8-42A8-92B0-C8E73F91F273}" type="sibTrans" cxnId="{13C33D24-982B-4EE8-B498-E84D6C563617}">
      <dgm:prSet/>
      <dgm:spPr/>
      <dgm:t>
        <a:bodyPr/>
        <a:lstStyle/>
        <a:p>
          <a:endParaRPr lang="es-EC">
            <a:solidFill>
              <a:sysClr val="windowText" lastClr="000000"/>
            </a:solidFill>
          </a:endParaRPr>
        </a:p>
      </dgm:t>
    </dgm:pt>
    <dgm:pt modelId="{5FFD4305-E9C2-4DA8-9BE2-8FDA8DFBE256}">
      <dgm:prSet custT="1"/>
      <dgm:spPr>
        <a:noFill/>
        <a:ln w="12700">
          <a:noFill/>
        </a:ln>
      </dgm:spPr>
      <dgm:t>
        <a:bodyPr/>
        <a:lstStyle/>
        <a:p>
          <a:r>
            <a:rPr lang="es-EC" sz="1000">
              <a:solidFill>
                <a:sysClr val="windowText" lastClr="000000"/>
              </a:solidFill>
              <a:latin typeface="Times New Roman" panose="02020603050405020304" pitchFamily="18" charset="0"/>
              <a:cs typeface="Times New Roman" panose="02020603050405020304" pitchFamily="18" charset="0"/>
            </a:rPr>
            <a:t>Detección de deficiencias ND</a:t>
          </a:r>
        </a:p>
      </dgm:t>
    </dgm:pt>
    <dgm:pt modelId="{4C9E1247-82FF-4DA1-9BE6-061313A94CF1}" type="parTrans" cxnId="{E17F1BD0-8ED5-4ADA-92F2-3FA3BBDE0ED0}">
      <dgm:prSet/>
      <dgm:spPr>
        <a:noFill/>
        <a:ln w="12700">
          <a:solidFill>
            <a:schemeClr val="bg1">
              <a:lumMod val="75000"/>
            </a:schemeClr>
          </a:solidFill>
          <a:tailEnd type="triangle" w="lg" len="med"/>
        </a:ln>
      </dgm:spPr>
      <dgm:t>
        <a:bodyPr/>
        <a:lstStyle/>
        <a:p>
          <a:endParaRPr lang="es-EC">
            <a:solidFill>
              <a:sysClr val="windowText" lastClr="000000"/>
            </a:solidFill>
          </a:endParaRPr>
        </a:p>
      </dgm:t>
    </dgm:pt>
    <dgm:pt modelId="{3D9905C4-84FD-40BB-8326-F34495C22B43}" type="sibTrans" cxnId="{E17F1BD0-8ED5-4ADA-92F2-3FA3BBDE0ED0}">
      <dgm:prSet/>
      <dgm:spPr/>
      <dgm:t>
        <a:bodyPr/>
        <a:lstStyle/>
        <a:p>
          <a:endParaRPr lang="es-EC">
            <a:solidFill>
              <a:sysClr val="windowText" lastClr="000000"/>
            </a:solidFill>
          </a:endParaRPr>
        </a:p>
      </dgm:t>
    </dgm:pt>
    <dgm:pt modelId="{8179FC44-FA6A-4DD2-BA9F-12265180C103}">
      <dgm:prSet custT="1"/>
      <dgm:spPr>
        <a:noFill/>
        <a:ln w="12700">
          <a:noFill/>
        </a:ln>
      </dgm:spPr>
      <dgm:t>
        <a:bodyPr/>
        <a:lstStyle/>
        <a:p>
          <a:r>
            <a:rPr lang="es-EC" sz="1000" b="1">
              <a:solidFill>
                <a:sysClr val="windowText" lastClr="000000"/>
              </a:solidFill>
              <a:latin typeface="Times New Roman" panose="02020603050405020304" pitchFamily="18" charset="0"/>
              <a:cs typeface="Times New Roman" panose="02020603050405020304" pitchFamily="18" charset="0"/>
            </a:rPr>
            <a:t>Análisis de Riesgos en el Trabajo</a:t>
          </a:r>
        </a:p>
      </dgm:t>
    </dgm:pt>
    <dgm:pt modelId="{C8AA8389-FEDE-4D51-8519-8C95038FC620}" type="parTrans" cxnId="{4D5B1344-4743-4402-A222-9F3443915EC1}">
      <dgm:prSet/>
      <dgm:spPr>
        <a:noFill/>
        <a:ln w="12700">
          <a:solidFill>
            <a:schemeClr val="bg1">
              <a:lumMod val="75000"/>
            </a:schemeClr>
          </a:solidFill>
          <a:tailEnd type="triangle" w="lg" len="med"/>
        </a:ln>
      </dgm:spPr>
      <dgm:t>
        <a:bodyPr/>
        <a:lstStyle/>
        <a:p>
          <a:endParaRPr lang="es-EC">
            <a:solidFill>
              <a:sysClr val="windowText" lastClr="000000"/>
            </a:solidFill>
          </a:endParaRPr>
        </a:p>
      </dgm:t>
    </dgm:pt>
    <dgm:pt modelId="{188E0A0E-1E85-4413-892C-E951C76F6BB2}" type="sibTrans" cxnId="{4D5B1344-4743-4402-A222-9F3443915EC1}">
      <dgm:prSet/>
      <dgm:spPr/>
      <dgm:t>
        <a:bodyPr/>
        <a:lstStyle/>
        <a:p>
          <a:endParaRPr lang="es-EC">
            <a:solidFill>
              <a:sysClr val="windowText" lastClr="000000"/>
            </a:solidFill>
          </a:endParaRPr>
        </a:p>
      </dgm:t>
    </dgm:pt>
    <dgm:pt modelId="{F14814CD-29FC-48F4-9B79-C02CA7367B55}">
      <dgm:prSet custT="1"/>
      <dgm:spPr>
        <a:noFill/>
        <a:ln w="12700">
          <a:noFill/>
        </a:ln>
      </dgm:spPr>
      <dgm:t>
        <a:bodyPr/>
        <a:lstStyle/>
        <a:p>
          <a:r>
            <a:rPr lang="es-EC" sz="1000">
              <a:solidFill>
                <a:sysClr val="windowText" lastClr="000000"/>
              </a:solidFill>
              <a:latin typeface="Times New Roman" panose="02020603050405020304" pitchFamily="18" charset="0"/>
              <a:cs typeface="Times New Roman" panose="02020603050405020304" pitchFamily="18" charset="0"/>
            </a:rPr>
            <a:t>Valoración del riesgo por tarea a partir del ND</a:t>
          </a:r>
        </a:p>
      </dgm:t>
    </dgm:pt>
    <dgm:pt modelId="{E4AA0534-F79A-495A-9823-F8AE72226E60}" type="parTrans" cxnId="{19B8335D-BBB2-412D-9B53-A52AAC9EF6A0}">
      <dgm:prSet/>
      <dgm:spPr>
        <a:noFill/>
        <a:ln w="12700">
          <a:solidFill>
            <a:schemeClr val="bg1">
              <a:lumMod val="75000"/>
            </a:schemeClr>
          </a:solidFill>
          <a:tailEnd type="triangle" w="lg" len="med"/>
        </a:ln>
      </dgm:spPr>
      <dgm:t>
        <a:bodyPr/>
        <a:lstStyle/>
        <a:p>
          <a:endParaRPr lang="es-EC">
            <a:solidFill>
              <a:sysClr val="windowText" lastClr="000000"/>
            </a:solidFill>
          </a:endParaRPr>
        </a:p>
      </dgm:t>
    </dgm:pt>
    <dgm:pt modelId="{4B4A33D8-8B26-42C2-82A3-64EAE9A697FC}" type="sibTrans" cxnId="{19B8335D-BBB2-412D-9B53-A52AAC9EF6A0}">
      <dgm:prSet/>
      <dgm:spPr/>
      <dgm:t>
        <a:bodyPr/>
        <a:lstStyle/>
        <a:p>
          <a:endParaRPr lang="es-EC">
            <a:solidFill>
              <a:sysClr val="windowText" lastClr="000000"/>
            </a:solidFill>
          </a:endParaRPr>
        </a:p>
      </dgm:t>
    </dgm:pt>
    <dgm:pt modelId="{38E48B41-B04F-4963-8963-E52C3F032F98}">
      <dgm:prSet custT="1"/>
      <dgm:spPr>
        <a:noFill/>
        <a:ln w="12700">
          <a:noFill/>
        </a:ln>
      </dgm:spPr>
      <dgm:t>
        <a:bodyPr/>
        <a:lstStyle/>
        <a:p>
          <a:r>
            <a:rPr lang="es-EC" sz="1000">
              <a:solidFill>
                <a:sysClr val="windowText" lastClr="000000"/>
              </a:solidFill>
              <a:latin typeface="Times New Roman" panose="02020603050405020304" pitchFamily="18" charset="0"/>
              <a:cs typeface="Times New Roman" panose="02020603050405020304" pitchFamily="18" charset="0"/>
            </a:rPr>
            <a:t>Definición de controles de ingeniería dentro de la estrategia metodológica</a:t>
          </a:r>
          <a:endParaRPr lang="es-EC" sz="1000">
            <a:solidFill>
              <a:sysClr val="windowText" lastClr="000000"/>
            </a:solidFill>
            <a:highlight>
              <a:srgbClr val="FFFF00"/>
            </a:highlight>
            <a:latin typeface="Times New Roman" panose="02020603050405020304" pitchFamily="18" charset="0"/>
            <a:cs typeface="Times New Roman" panose="02020603050405020304" pitchFamily="18" charset="0"/>
          </a:endParaRPr>
        </a:p>
      </dgm:t>
    </dgm:pt>
    <dgm:pt modelId="{0EBDB7F6-8EF6-4AA4-9BFF-519A2E5F6F2F}" type="parTrans" cxnId="{42C49BC6-AD08-4741-87C5-444F855F9D67}">
      <dgm:prSet/>
      <dgm:spPr>
        <a:noFill/>
        <a:ln w="12700">
          <a:solidFill>
            <a:schemeClr val="bg1">
              <a:lumMod val="75000"/>
            </a:schemeClr>
          </a:solidFill>
          <a:tailEnd type="triangle" w="lg" len="med"/>
        </a:ln>
      </dgm:spPr>
      <dgm:t>
        <a:bodyPr/>
        <a:lstStyle/>
        <a:p>
          <a:endParaRPr lang="es-EC">
            <a:solidFill>
              <a:sysClr val="windowText" lastClr="000000"/>
            </a:solidFill>
          </a:endParaRPr>
        </a:p>
      </dgm:t>
    </dgm:pt>
    <dgm:pt modelId="{1034EF7A-DFBA-41AB-BCE1-A437174C390D}" type="sibTrans" cxnId="{42C49BC6-AD08-4741-87C5-444F855F9D67}">
      <dgm:prSet/>
      <dgm:spPr/>
      <dgm:t>
        <a:bodyPr/>
        <a:lstStyle/>
        <a:p>
          <a:endParaRPr lang="es-EC">
            <a:solidFill>
              <a:sysClr val="windowText" lastClr="000000"/>
            </a:solidFill>
          </a:endParaRPr>
        </a:p>
      </dgm:t>
    </dgm:pt>
    <dgm:pt modelId="{C2699D0B-6C36-4FFA-B7D9-2BA2B5E361DB}" type="pres">
      <dgm:prSet presAssocID="{F195D25D-D31D-4618-AB8D-C69482DAE88A}" presName="Name0" presStyleCnt="0">
        <dgm:presLayoutVars>
          <dgm:chPref val="1"/>
          <dgm:dir/>
          <dgm:animOne val="branch"/>
          <dgm:animLvl val="lvl"/>
          <dgm:resizeHandles val="exact"/>
        </dgm:presLayoutVars>
      </dgm:prSet>
      <dgm:spPr/>
    </dgm:pt>
    <dgm:pt modelId="{1596594A-12A0-4FB3-B71C-F4B73FD03753}" type="pres">
      <dgm:prSet presAssocID="{E018E34B-F664-4373-80BF-ED2D82677996}" presName="root1" presStyleCnt="0"/>
      <dgm:spPr/>
    </dgm:pt>
    <dgm:pt modelId="{51DCA4C6-DDD3-4609-93AE-114729648C03}" type="pres">
      <dgm:prSet presAssocID="{E018E34B-F664-4373-80BF-ED2D82677996}" presName="LevelOneTextNode" presStyleLbl="node0" presStyleIdx="0" presStyleCnt="1" custScaleX="74335">
        <dgm:presLayoutVars>
          <dgm:chPref val="3"/>
        </dgm:presLayoutVars>
      </dgm:prSet>
      <dgm:spPr/>
    </dgm:pt>
    <dgm:pt modelId="{2FC2508D-875E-467B-9C71-4C64B0C57D48}" type="pres">
      <dgm:prSet presAssocID="{E018E34B-F664-4373-80BF-ED2D82677996}" presName="level2hierChild" presStyleCnt="0"/>
      <dgm:spPr/>
    </dgm:pt>
    <dgm:pt modelId="{AE257EE2-218D-458A-905A-83D9233032F6}" type="pres">
      <dgm:prSet presAssocID="{27A945B9-2254-43A4-B29F-C3A07BB63353}" presName="conn2-1" presStyleLbl="parChTrans1D2" presStyleIdx="0" presStyleCnt="3"/>
      <dgm:spPr/>
    </dgm:pt>
    <dgm:pt modelId="{54CA4D8A-2C0F-4FA5-94F8-3B526C6ED70D}" type="pres">
      <dgm:prSet presAssocID="{27A945B9-2254-43A4-B29F-C3A07BB63353}" presName="connTx" presStyleLbl="parChTrans1D2" presStyleIdx="0" presStyleCnt="3"/>
      <dgm:spPr/>
    </dgm:pt>
    <dgm:pt modelId="{ACE32089-FC3C-421E-B010-56F671D06389}" type="pres">
      <dgm:prSet presAssocID="{D4C5781B-0E57-4197-B9EC-A61F738A23CD}" presName="root2" presStyleCnt="0"/>
      <dgm:spPr/>
    </dgm:pt>
    <dgm:pt modelId="{9142D89C-C297-439B-B5C9-F74D8DFF5D98}" type="pres">
      <dgm:prSet presAssocID="{D4C5781B-0E57-4197-B9EC-A61F738A23CD}" presName="LevelTwoTextNode" presStyleLbl="node2" presStyleIdx="0" presStyleCnt="3" custScaleX="93158" custScaleY="59913">
        <dgm:presLayoutVars>
          <dgm:chPref val="3"/>
        </dgm:presLayoutVars>
      </dgm:prSet>
      <dgm:spPr/>
    </dgm:pt>
    <dgm:pt modelId="{9FB5B5BD-611A-4E03-9029-34E8C1DC6E66}" type="pres">
      <dgm:prSet presAssocID="{D4C5781B-0E57-4197-B9EC-A61F738A23CD}" presName="level3hierChild" presStyleCnt="0"/>
      <dgm:spPr/>
    </dgm:pt>
    <dgm:pt modelId="{6637D602-DEC9-41FF-9F16-B4EADFE8ED0C}" type="pres">
      <dgm:prSet presAssocID="{FC40F97C-9EB5-4D20-A894-57A2822B0158}" presName="conn2-1" presStyleLbl="parChTrans1D3" presStyleIdx="0" presStyleCnt="6"/>
      <dgm:spPr/>
    </dgm:pt>
    <dgm:pt modelId="{3E15628A-1227-4F94-8523-AD0B29065D0D}" type="pres">
      <dgm:prSet presAssocID="{FC40F97C-9EB5-4D20-A894-57A2822B0158}" presName="connTx" presStyleLbl="parChTrans1D3" presStyleIdx="0" presStyleCnt="6"/>
      <dgm:spPr/>
    </dgm:pt>
    <dgm:pt modelId="{261AD3D1-7C68-4089-8B61-293E2EED2CF4}" type="pres">
      <dgm:prSet presAssocID="{938EF223-4242-4EB8-B262-DC071BC6385E}" presName="root2" presStyleCnt="0"/>
      <dgm:spPr/>
    </dgm:pt>
    <dgm:pt modelId="{8D6DDC5D-7D3D-43B6-A6F9-4B382B448580}" type="pres">
      <dgm:prSet presAssocID="{938EF223-4242-4EB8-B262-DC071BC6385E}" presName="LevelTwoTextNode" presStyleLbl="node3" presStyleIdx="0" presStyleCnt="6" custScaleX="102291" custScaleY="59913">
        <dgm:presLayoutVars>
          <dgm:chPref val="3"/>
        </dgm:presLayoutVars>
      </dgm:prSet>
      <dgm:spPr/>
    </dgm:pt>
    <dgm:pt modelId="{853363F7-7A73-4231-8AA5-CD96F7F92F31}" type="pres">
      <dgm:prSet presAssocID="{938EF223-4242-4EB8-B262-DC071BC6385E}" presName="level3hierChild" presStyleCnt="0"/>
      <dgm:spPr/>
    </dgm:pt>
    <dgm:pt modelId="{1A8A632D-6C5D-48BD-BAE6-A7DB9349ABFA}" type="pres">
      <dgm:prSet presAssocID="{822EDA74-9E07-42B1-9410-9FB2F3A56A88}" presName="conn2-1" presStyleLbl="parChTrans1D3" presStyleIdx="1" presStyleCnt="6"/>
      <dgm:spPr/>
    </dgm:pt>
    <dgm:pt modelId="{CC5F5346-D1B8-486D-9AE6-E1D2773DB505}" type="pres">
      <dgm:prSet presAssocID="{822EDA74-9E07-42B1-9410-9FB2F3A56A88}" presName="connTx" presStyleLbl="parChTrans1D3" presStyleIdx="1" presStyleCnt="6"/>
      <dgm:spPr/>
    </dgm:pt>
    <dgm:pt modelId="{7834045C-C7FF-4A74-9676-C8426CEE8006}" type="pres">
      <dgm:prSet presAssocID="{4520E199-4597-42E3-B4BD-E72A1FF02615}" presName="root2" presStyleCnt="0"/>
      <dgm:spPr/>
    </dgm:pt>
    <dgm:pt modelId="{DA02D90A-174F-4555-9B34-508716979500}" type="pres">
      <dgm:prSet presAssocID="{4520E199-4597-42E3-B4BD-E72A1FF02615}" presName="LevelTwoTextNode" presStyleLbl="node3" presStyleIdx="1" presStyleCnt="6" custScaleX="102291" custScaleY="59913">
        <dgm:presLayoutVars>
          <dgm:chPref val="3"/>
        </dgm:presLayoutVars>
      </dgm:prSet>
      <dgm:spPr/>
    </dgm:pt>
    <dgm:pt modelId="{64374623-60BF-4640-A62B-BB0598988AF7}" type="pres">
      <dgm:prSet presAssocID="{4520E199-4597-42E3-B4BD-E72A1FF02615}" presName="level3hierChild" presStyleCnt="0"/>
      <dgm:spPr/>
    </dgm:pt>
    <dgm:pt modelId="{08F210F7-67DB-452C-9AA1-416A7E2917DA}" type="pres">
      <dgm:prSet presAssocID="{5EFC20E5-D77B-4213-BF86-C110C1890346}" presName="conn2-1" presStyleLbl="parChTrans1D2" presStyleIdx="1" presStyleCnt="3"/>
      <dgm:spPr/>
    </dgm:pt>
    <dgm:pt modelId="{D06AFD22-8D5F-46DB-9F0F-784F3E5D9C5A}" type="pres">
      <dgm:prSet presAssocID="{5EFC20E5-D77B-4213-BF86-C110C1890346}" presName="connTx" presStyleLbl="parChTrans1D2" presStyleIdx="1" presStyleCnt="3"/>
      <dgm:spPr/>
    </dgm:pt>
    <dgm:pt modelId="{03761EB4-7D6D-4813-9FED-4641A4690B00}" type="pres">
      <dgm:prSet presAssocID="{DCA5802A-87E3-4CF2-B51A-72AA27D58880}" presName="root2" presStyleCnt="0"/>
      <dgm:spPr/>
    </dgm:pt>
    <dgm:pt modelId="{5A57BD76-8720-49C7-8CDB-95AFF5DAC299}" type="pres">
      <dgm:prSet presAssocID="{DCA5802A-87E3-4CF2-B51A-72AA27D58880}" presName="LevelTwoTextNode" presStyleLbl="node2" presStyleIdx="1" presStyleCnt="3" custScaleX="93158" custScaleY="59913">
        <dgm:presLayoutVars>
          <dgm:chPref val="3"/>
        </dgm:presLayoutVars>
      </dgm:prSet>
      <dgm:spPr/>
    </dgm:pt>
    <dgm:pt modelId="{1958E4C3-54AD-491C-A127-F975CE41840C}" type="pres">
      <dgm:prSet presAssocID="{DCA5802A-87E3-4CF2-B51A-72AA27D58880}" presName="level3hierChild" presStyleCnt="0"/>
      <dgm:spPr/>
    </dgm:pt>
    <dgm:pt modelId="{F11E6C55-ADE9-4A26-A185-98012A4EE37C}" type="pres">
      <dgm:prSet presAssocID="{106BCDB1-21E3-4A25-AE87-4E84441D15F3}" presName="conn2-1" presStyleLbl="parChTrans1D3" presStyleIdx="2" presStyleCnt="6"/>
      <dgm:spPr/>
    </dgm:pt>
    <dgm:pt modelId="{D96352EA-2229-4CB1-85B2-25A4108920DB}" type="pres">
      <dgm:prSet presAssocID="{106BCDB1-21E3-4A25-AE87-4E84441D15F3}" presName="connTx" presStyleLbl="parChTrans1D3" presStyleIdx="2" presStyleCnt="6"/>
      <dgm:spPr/>
    </dgm:pt>
    <dgm:pt modelId="{353C08E3-A682-49B8-8078-53BDE25623EA}" type="pres">
      <dgm:prSet presAssocID="{6C4FB359-F462-4D69-BBAA-52DCC33964FA}" presName="root2" presStyleCnt="0"/>
      <dgm:spPr/>
    </dgm:pt>
    <dgm:pt modelId="{B80C656C-34D9-4C34-8EC4-C5228F3C5E92}" type="pres">
      <dgm:prSet presAssocID="{6C4FB359-F462-4D69-BBAA-52DCC33964FA}" presName="LevelTwoTextNode" presStyleLbl="node3" presStyleIdx="2" presStyleCnt="6" custScaleX="102291" custScaleY="59913">
        <dgm:presLayoutVars>
          <dgm:chPref val="3"/>
        </dgm:presLayoutVars>
      </dgm:prSet>
      <dgm:spPr/>
    </dgm:pt>
    <dgm:pt modelId="{A0911834-B922-4256-82F5-79B2AE3FC3B0}" type="pres">
      <dgm:prSet presAssocID="{6C4FB359-F462-4D69-BBAA-52DCC33964FA}" presName="level3hierChild" presStyleCnt="0"/>
      <dgm:spPr/>
    </dgm:pt>
    <dgm:pt modelId="{62762D98-BC1D-46C8-980F-09B4DC778BAE}" type="pres">
      <dgm:prSet presAssocID="{4C9E1247-82FF-4DA1-9BE6-061313A94CF1}" presName="conn2-1" presStyleLbl="parChTrans1D3" presStyleIdx="3" presStyleCnt="6"/>
      <dgm:spPr/>
    </dgm:pt>
    <dgm:pt modelId="{40892473-6620-4DA9-BC96-0A15EB6D5F69}" type="pres">
      <dgm:prSet presAssocID="{4C9E1247-82FF-4DA1-9BE6-061313A94CF1}" presName="connTx" presStyleLbl="parChTrans1D3" presStyleIdx="3" presStyleCnt="6"/>
      <dgm:spPr/>
    </dgm:pt>
    <dgm:pt modelId="{88F8963F-7425-41FE-8423-4ACB051479A4}" type="pres">
      <dgm:prSet presAssocID="{5FFD4305-E9C2-4DA8-9BE2-8FDA8DFBE256}" presName="root2" presStyleCnt="0"/>
      <dgm:spPr/>
    </dgm:pt>
    <dgm:pt modelId="{1BD7492A-CB5D-4280-B18D-E21356069C48}" type="pres">
      <dgm:prSet presAssocID="{5FFD4305-E9C2-4DA8-9BE2-8FDA8DFBE256}" presName="LevelTwoTextNode" presStyleLbl="node3" presStyleIdx="3" presStyleCnt="6" custScaleX="102291" custScaleY="59913">
        <dgm:presLayoutVars>
          <dgm:chPref val="3"/>
        </dgm:presLayoutVars>
      </dgm:prSet>
      <dgm:spPr/>
    </dgm:pt>
    <dgm:pt modelId="{FC843C94-C426-4F82-854C-39189608641B}" type="pres">
      <dgm:prSet presAssocID="{5FFD4305-E9C2-4DA8-9BE2-8FDA8DFBE256}" presName="level3hierChild" presStyleCnt="0"/>
      <dgm:spPr/>
    </dgm:pt>
    <dgm:pt modelId="{4F7B9A74-596A-4567-A637-1F7EBA1310F0}" type="pres">
      <dgm:prSet presAssocID="{C8AA8389-FEDE-4D51-8519-8C95038FC620}" presName="conn2-1" presStyleLbl="parChTrans1D2" presStyleIdx="2" presStyleCnt="3"/>
      <dgm:spPr/>
    </dgm:pt>
    <dgm:pt modelId="{66457FEE-AF3B-47EB-91D1-497236D46B57}" type="pres">
      <dgm:prSet presAssocID="{C8AA8389-FEDE-4D51-8519-8C95038FC620}" presName="connTx" presStyleLbl="parChTrans1D2" presStyleIdx="2" presStyleCnt="3"/>
      <dgm:spPr/>
    </dgm:pt>
    <dgm:pt modelId="{12745C40-48A6-4D3F-8941-46774819C5A6}" type="pres">
      <dgm:prSet presAssocID="{8179FC44-FA6A-4DD2-BA9F-12265180C103}" presName="root2" presStyleCnt="0"/>
      <dgm:spPr/>
    </dgm:pt>
    <dgm:pt modelId="{DB3BC6B5-0940-4504-90D6-CF4C43905E59}" type="pres">
      <dgm:prSet presAssocID="{8179FC44-FA6A-4DD2-BA9F-12265180C103}" presName="LevelTwoTextNode" presStyleLbl="node2" presStyleIdx="2" presStyleCnt="3" custScaleX="93158" custScaleY="59913">
        <dgm:presLayoutVars>
          <dgm:chPref val="3"/>
        </dgm:presLayoutVars>
      </dgm:prSet>
      <dgm:spPr/>
    </dgm:pt>
    <dgm:pt modelId="{4E300AD5-E1A0-4732-B7DE-0DDB5BDCD390}" type="pres">
      <dgm:prSet presAssocID="{8179FC44-FA6A-4DD2-BA9F-12265180C103}" presName="level3hierChild" presStyleCnt="0"/>
      <dgm:spPr/>
    </dgm:pt>
    <dgm:pt modelId="{37374DA1-F985-4EFA-B1B4-492CB16D3C90}" type="pres">
      <dgm:prSet presAssocID="{E4AA0534-F79A-495A-9823-F8AE72226E60}" presName="conn2-1" presStyleLbl="parChTrans1D3" presStyleIdx="4" presStyleCnt="6"/>
      <dgm:spPr/>
    </dgm:pt>
    <dgm:pt modelId="{42C6073B-790D-4673-B7E7-064E507C6E0B}" type="pres">
      <dgm:prSet presAssocID="{E4AA0534-F79A-495A-9823-F8AE72226E60}" presName="connTx" presStyleLbl="parChTrans1D3" presStyleIdx="4" presStyleCnt="6"/>
      <dgm:spPr/>
    </dgm:pt>
    <dgm:pt modelId="{1CDF3C47-6FC8-4914-8E11-FD29A4CCA5DC}" type="pres">
      <dgm:prSet presAssocID="{F14814CD-29FC-48F4-9B79-C02CA7367B55}" presName="root2" presStyleCnt="0"/>
      <dgm:spPr/>
    </dgm:pt>
    <dgm:pt modelId="{D0CD88EB-DB4A-43AF-A052-B2D7E30F7B38}" type="pres">
      <dgm:prSet presAssocID="{F14814CD-29FC-48F4-9B79-C02CA7367B55}" presName="LevelTwoTextNode" presStyleLbl="node3" presStyleIdx="4" presStyleCnt="6" custScaleX="102291" custScaleY="59913">
        <dgm:presLayoutVars>
          <dgm:chPref val="3"/>
        </dgm:presLayoutVars>
      </dgm:prSet>
      <dgm:spPr/>
    </dgm:pt>
    <dgm:pt modelId="{91BFBE1F-E5CE-47CA-A97D-3FEEF98C0A5A}" type="pres">
      <dgm:prSet presAssocID="{F14814CD-29FC-48F4-9B79-C02CA7367B55}" presName="level3hierChild" presStyleCnt="0"/>
      <dgm:spPr/>
    </dgm:pt>
    <dgm:pt modelId="{DDCC3B89-A052-45BF-ADAE-3A9ADE8898E2}" type="pres">
      <dgm:prSet presAssocID="{0EBDB7F6-8EF6-4AA4-9BFF-519A2E5F6F2F}" presName="conn2-1" presStyleLbl="parChTrans1D3" presStyleIdx="5" presStyleCnt="6"/>
      <dgm:spPr/>
    </dgm:pt>
    <dgm:pt modelId="{874689A7-87BC-45BC-8130-55E33D7BC16B}" type="pres">
      <dgm:prSet presAssocID="{0EBDB7F6-8EF6-4AA4-9BFF-519A2E5F6F2F}" presName="connTx" presStyleLbl="parChTrans1D3" presStyleIdx="5" presStyleCnt="6"/>
      <dgm:spPr/>
    </dgm:pt>
    <dgm:pt modelId="{A5184FA3-C032-4333-9BDD-139864C5B98E}" type="pres">
      <dgm:prSet presAssocID="{38E48B41-B04F-4963-8963-E52C3F032F98}" presName="root2" presStyleCnt="0"/>
      <dgm:spPr/>
    </dgm:pt>
    <dgm:pt modelId="{B7BD43BB-2BA7-471B-9560-3CEB204A7EB5}" type="pres">
      <dgm:prSet presAssocID="{38E48B41-B04F-4963-8963-E52C3F032F98}" presName="LevelTwoTextNode" presStyleLbl="node3" presStyleIdx="5" presStyleCnt="6" custScaleX="102291" custScaleY="69882">
        <dgm:presLayoutVars>
          <dgm:chPref val="3"/>
        </dgm:presLayoutVars>
      </dgm:prSet>
      <dgm:spPr/>
    </dgm:pt>
    <dgm:pt modelId="{6A80FEDC-9993-430B-AF19-4009FF1ECAE0}" type="pres">
      <dgm:prSet presAssocID="{38E48B41-B04F-4963-8963-E52C3F032F98}" presName="level3hierChild" presStyleCnt="0"/>
      <dgm:spPr/>
    </dgm:pt>
  </dgm:ptLst>
  <dgm:cxnLst>
    <dgm:cxn modelId="{6D61DA01-7CF2-494E-AE10-D5410DE20A6D}" type="presOf" srcId="{4C9E1247-82FF-4DA1-9BE6-061313A94CF1}" destId="{40892473-6620-4DA9-BC96-0A15EB6D5F69}" srcOrd="1" destOrd="0" presId="urn:microsoft.com/office/officeart/2008/layout/HorizontalMultiLevelHierarchy"/>
    <dgm:cxn modelId="{432FDB04-ED20-465C-A404-FAAE958675E3}" type="presOf" srcId="{938EF223-4242-4EB8-B262-DC071BC6385E}" destId="{8D6DDC5D-7D3D-43B6-A6F9-4B382B448580}" srcOrd="0" destOrd="0" presId="urn:microsoft.com/office/officeart/2008/layout/HorizontalMultiLevelHierarchy"/>
    <dgm:cxn modelId="{CC40FD0F-D3AA-471A-AB07-E7E8E405B2F7}" type="presOf" srcId="{27A945B9-2254-43A4-B29F-C3A07BB63353}" destId="{AE257EE2-218D-458A-905A-83D9233032F6}" srcOrd="0" destOrd="0" presId="urn:microsoft.com/office/officeart/2008/layout/HorizontalMultiLevelHierarchy"/>
    <dgm:cxn modelId="{D9E8F812-0E6D-4C93-9970-97F19179A15C}" type="presOf" srcId="{27A945B9-2254-43A4-B29F-C3A07BB63353}" destId="{54CA4D8A-2C0F-4FA5-94F8-3B526C6ED70D}" srcOrd="1" destOrd="0" presId="urn:microsoft.com/office/officeart/2008/layout/HorizontalMultiLevelHierarchy"/>
    <dgm:cxn modelId="{B3EDCA16-DB32-435E-BAD8-70F6E18EC50D}" srcId="{E018E34B-F664-4373-80BF-ED2D82677996}" destId="{DCA5802A-87E3-4CF2-B51A-72AA27D58880}" srcOrd="1" destOrd="0" parTransId="{5EFC20E5-D77B-4213-BF86-C110C1890346}" sibTransId="{5D6190D6-E8AB-44A1-8D7C-D263843ABD01}"/>
    <dgm:cxn modelId="{1B5C4C1C-0843-4457-8CCD-A5B183119DE1}" type="presOf" srcId="{4C9E1247-82FF-4DA1-9BE6-061313A94CF1}" destId="{62762D98-BC1D-46C8-980F-09B4DC778BAE}" srcOrd="0" destOrd="0" presId="urn:microsoft.com/office/officeart/2008/layout/HorizontalMultiLevelHierarchy"/>
    <dgm:cxn modelId="{13C33D24-982B-4EE8-B498-E84D6C563617}" srcId="{DCA5802A-87E3-4CF2-B51A-72AA27D58880}" destId="{6C4FB359-F462-4D69-BBAA-52DCC33964FA}" srcOrd="0" destOrd="0" parTransId="{106BCDB1-21E3-4A25-AE87-4E84441D15F3}" sibTransId="{A7B09C1F-24B8-42A8-92B0-C8E73F91F273}"/>
    <dgm:cxn modelId="{6AD33726-765C-49C7-9ABE-5125F487590A}" type="presOf" srcId="{FC40F97C-9EB5-4D20-A894-57A2822B0158}" destId="{6637D602-DEC9-41FF-9F16-B4EADFE8ED0C}" srcOrd="0" destOrd="0" presId="urn:microsoft.com/office/officeart/2008/layout/HorizontalMultiLevelHierarchy"/>
    <dgm:cxn modelId="{93E63D2F-9835-43C7-8D59-D633595E3445}" type="presOf" srcId="{0EBDB7F6-8EF6-4AA4-9BFF-519A2E5F6F2F}" destId="{DDCC3B89-A052-45BF-ADAE-3A9ADE8898E2}" srcOrd="0" destOrd="0" presId="urn:microsoft.com/office/officeart/2008/layout/HorizontalMultiLevelHierarchy"/>
    <dgm:cxn modelId="{E8BA8D3C-F1A4-471C-B03B-CAFA43ADEED7}" type="presOf" srcId="{F195D25D-D31D-4618-AB8D-C69482DAE88A}" destId="{C2699D0B-6C36-4FFA-B7D9-2BA2B5E361DB}" srcOrd="0" destOrd="0" presId="urn:microsoft.com/office/officeart/2008/layout/HorizontalMultiLevelHierarchy"/>
    <dgm:cxn modelId="{19B8335D-BBB2-412D-9B53-A52AAC9EF6A0}" srcId="{8179FC44-FA6A-4DD2-BA9F-12265180C103}" destId="{F14814CD-29FC-48F4-9B79-C02CA7367B55}" srcOrd="0" destOrd="0" parTransId="{E4AA0534-F79A-495A-9823-F8AE72226E60}" sibTransId="{4B4A33D8-8B26-42C2-82A3-64EAE9A697FC}"/>
    <dgm:cxn modelId="{F8F51E60-11C6-4522-A25C-F056281CBD75}" srcId="{D4C5781B-0E57-4197-B9EC-A61F738A23CD}" destId="{4520E199-4597-42E3-B4BD-E72A1FF02615}" srcOrd="1" destOrd="0" parTransId="{822EDA74-9E07-42B1-9410-9FB2F3A56A88}" sibTransId="{E296DFEA-B68D-4F07-A36F-60CFA10E051F}"/>
    <dgm:cxn modelId="{4D5B1344-4743-4402-A222-9F3443915EC1}" srcId="{E018E34B-F664-4373-80BF-ED2D82677996}" destId="{8179FC44-FA6A-4DD2-BA9F-12265180C103}" srcOrd="2" destOrd="0" parTransId="{C8AA8389-FEDE-4D51-8519-8C95038FC620}" sibTransId="{188E0A0E-1E85-4413-892C-E951C76F6BB2}"/>
    <dgm:cxn modelId="{216DBA6A-4537-4738-B648-E1EA8AC9667C}" type="presOf" srcId="{5EFC20E5-D77B-4213-BF86-C110C1890346}" destId="{08F210F7-67DB-452C-9AA1-416A7E2917DA}" srcOrd="0" destOrd="0" presId="urn:microsoft.com/office/officeart/2008/layout/HorizontalMultiLevelHierarchy"/>
    <dgm:cxn modelId="{E7AB364E-1E8B-4B7D-BCE2-086E01DA4AA9}" type="presOf" srcId="{F14814CD-29FC-48F4-9B79-C02CA7367B55}" destId="{D0CD88EB-DB4A-43AF-A052-B2D7E30F7B38}" srcOrd="0" destOrd="0" presId="urn:microsoft.com/office/officeart/2008/layout/HorizontalMultiLevelHierarchy"/>
    <dgm:cxn modelId="{7B571273-10D7-45B7-BBF6-CD0E85C005CE}" type="presOf" srcId="{E4AA0534-F79A-495A-9823-F8AE72226E60}" destId="{37374DA1-F985-4EFA-B1B4-492CB16D3C90}" srcOrd="0" destOrd="0" presId="urn:microsoft.com/office/officeart/2008/layout/HorizontalMultiLevelHierarchy"/>
    <dgm:cxn modelId="{79AE6775-8DD7-402B-91DD-4E8FAC15A961}" type="presOf" srcId="{6C4FB359-F462-4D69-BBAA-52DCC33964FA}" destId="{B80C656C-34D9-4C34-8EC4-C5228F3C5E92}" srcOrd="0" destOrd="0" presId="urn:microsoft.com/office/officeart/2008/layout/HorizontalMultiLevelHierarchy"/>
    <dgm:cxn modelId="{458CBE76-A5C2-4B4F-98B2-D60014451B03}" type="presOf" srcId="{FC40F97C-9EB5-4D20-A894-57A2822B0158}" destId="{3E15628A-1227-4F94-8523-AD0B29065D0D}" srcOrd="1" destOrd="0" presId="urn:microsoft.com/office/officeart/2008/layout/HorizontalMultiLevelHierarchy"/>
    <dgm:cxn modelId="{98DAEB84-0593-4E32-BDEE-D6A0180876B2}" type="presOf" srcId="{822EDA74-9E07-42B1-9410-9FB2F3A56A88}" destId="{CC5F5346-D1B8-486D-9AE6-E1D2773DB505}" srcOrd="1" destOrd="0" presId="urn:microsoft.com/office/officeart/2008/layout/HorizontalMultiLevelHierarchy"/>
    <dgm:cxn modelId="{8916D48D-C1CE-426A-9100-51370098C695}" type="presOf" srcId="{E018E34B-F664-4373-80BF-ED2D82677996}" destId="{51DCA4C6-DDD3-4609-93AE-114729648C03}" srcOrd="0" destOrd="0" presId="urn:microsoft.com/office/officeart/2008/layout/HorizontalMultiLevelHierarchy"/>
    <dgm:cxn modelId="{5A971A90-5986-4A73-A246-1CB13177F073}" type="presOf" srcId="{5FFD4305-E9C2-4DA8-9BE2-8FDA8DFBE256}" destId="{1BD7492A-CB5D-4280-B18D-E21356069C48}" srcOrd="0" destOrd="0" presId="urn:microsoft.com/office/officeart/2008/layout/HorizontalMultiLevelHierarchy"/>
    <dgm:cxn modelId="{2DF8AA93-3FBF-4D5B-9181-1F06489B8791}" type="presOf" srcId="{8179FC44-FA6A-4DD2-BA9F-12265180C103}" destId="{DB3BC6B5-0940-4504-90D6-CF4C43905E59}" srcOrd="0" destOrd="0" presId="urn:microsoft.com/office/officeart/2008/layout/HorizontalMultiLevelHierarchy"/>
    <dgm:cxn modelId="{11B71B96-991B-46E1-96DB-DDC42E4EAED8}" srcId="{F195D25D-D31D-4618-AB8D-C69482DAE88A}" destId="{E018E34B-F664-4373-80BF-ED2D82677996}" srcOrd="0" destOrd="0" parTransId="{9BDFFEF8-957D-45AD-86C3-BF835C92A5C7}" sibTransId="{2C18DBBD-35B6-424B-9949-44096FAAD5EB}"/>
    <dgm:cxn modelId="{EAC825A5-A175-4C08-B03D-417B5C650417}" type="presOf" srcId="{38E48B41-B04F-4963-8963-E52C3F032F98}" destId="{B7BD43BB-2BA7-471B-9560-3CEB204A7EB5}" srcOrd="0" destOrd="0" presId="urn:microsoft.com/office/officeart/2008/layout/HorizontalMultiLevelHierarchy"/>
    <dgm:cxn modelId="{60EF08A9-B885-44BF-A582-22F3ED4CCDDA}" srcId="{D4C5781B-0E57-4197-B9EC-A61F738A23CD}" destId="{938EF223-4242-4EB8-B262-DC071BC6385E}" srcOrd="0" destOrd="0" parTransId="{FC40F97C-9EB5-4D20-A894-57A2822B0158}" sibTransId="{FB171C55-2C63-4B6A-B176-A95072C6D829}"/>
    <dgm:cxn modelId="{F8BE35AF-1483-409C-8F45-891380B59486}" type="presOf" srcId="{4520E199-4597-42E3-B4BD-E72A1FF02615}" destId="{DA02D90A-174F-4555-9B34-508716979500}" srcOrd="0" destOrd="0" presId="urn:microsoft.com/office/officeart/2008/layout/HorizontalMultiLevelHierarchy"/>
    <dgm:cxn modelId="{4098A1B7-F33F-469A-BCCA-8A650D4E1B9E}" srcId="{E018E34B-F664-4373-80BF-ED2D82677996}" destId="{D4C5781B-0E57-4197-B9EC-A61F738A23CD}" srcOrd="0" destOrd="0" parTransId="{27A945B9-2254-43A4-B29F-C3A07BB63353}" sibTransId="{D9AEBB3F-1638-4E96-8464-6044A0B65221}"/>
    <dgm:cxn modelId="{B01B5DB9-D6B2-4832-A193-8329E4871001}" type="presOf" srcId="{C8AA8389-FEDE-4D51-8519-8C95038FC620}" destId="{4F7B9A74-596A-4567-A637-1F7EBA1310F0}" srcOrd="0" destOrd="0" presId="urn:microsoft.com/office/officeart/2008/layout/HorizontalMultiLevelHierarchy"/>
    <dgm:cxn modelId="{5F7337BB-0A82-4595-81E9-1BF0CAA13793}" type="presOf" srcId="{DCA5802A-87E3-4CF2-B51A-72AA27D58880}" destId="{5A57BD76-8720-49C7-8CDB-95AFF5DAC299}" srcOrd="0" destOrd="0" presId="urn:microsoft.com/office/officeart/2008/layout/HorizontalMultiLevelHierarchy"/>
    <dgm:cxn modelId="{25FD9ABE-6B08-4510-A075-2CC0C84B0D78}" type="presOf" srcId="{5EFC20E5-D77B-4213-BF86-C110C1890346}" destId="{D06AFD22-8D5F-46DB-9F0F-784F3E5D9C5A}" srcOrd="1" destOrd="0" presId="urn:microsoft.com/office/officeart/2008/layout/HorizontalMultiLevelHierarchy"/>
    <dgm:cxn modelId="{AE4EFABF-90F4-4E5A-902C-5D5B89DF4D90}" type="presOf" srcId="{106BCDB1-21E3-4A25-AE87-4E84441D15F3}" destId="{F11E6C55-ADE9-4A26-A185-98012A4EE37C}" srcOrd="0" destOrd="0" presId="urn:microsoft.com/office/officeart/2008/layout/HorizontalMultiLevelHierarchy"/>
    <dgm:cxn modelId="{42C49BC6-AD08-4741-87C5-444F855F9D67}" srcId="{8179FC44-FA6A-4DD2-BA9F-12265180C103}" destId="{38E48B41-B04F-4963-8963-E52C3F032F98}" srcOrd="1" destOrd="0" parTransId="{0EBDB7F6-8EF6-4AA4-9BFF-519A2E5F6F2F}" sibTransId="{1034EF7A-DFBA-41AB-BCE1-A437174C390D}"/>
    <dgm:cxn modelId="{AAF769CC-02CD-416B-AA8E-6089B2D2E5C9}" type="presOf" srcId="{0EBDB7F6-8EF6-4AA4-9BFF-519A2E5F6F2F}" destId="{874689A7-87BC-45BC-8130-55E33D7BC16B}" srcOrd="1" destOrd="0" presId="urn:microsoft.com/office/officeart/2008/layout/HorizontalMultiLevelHierarchy"/>
    <dgm:cxn modelId="{E17F1BD0-8ED5-4ADA-92F2-3FA3BBDE0ED0}" srcId="{DCA5802A-87E3-4CF2-B51A-72AA27D58880}" destId="{5FFD4305-E9C2-4DA8-9BE2-8FDA8DFBE256}" srcOrd="1" destOrd="0" parTransId="{4C9E1247-82FF-4DA1-9BE6-061313A94CF1}" sibTransId="{3D9905C4-84FD-40BB-8326-F34495C22B43}"/>
    <dgm:cxn modelId="{1842B5D0-6EE0-44D7-B594-06D796F75E6A}" type="presOf" srcId="{E4AA0534-F79A-495A-9823-F8AE72226E60}" destId="{42C6073B-790D-4673-B7E7-064E507C6E0B}" srcOrd="1" destOrd="0" presId="urn:microsoft.com/office/officeart/2008/layout/HorizontalMultiLevelHierarchy"/>
    <dgm:cxn modelId="{844175D5-64BA-4E3C-BAB2-96768B0A19BD}" type="presOf" srcId="{106BCDB1-21E3-4A25-AE87-4E84441D15F3}" destId="{D96352EA-2229-4CB1-85B2-25A4108920DB}" srcOrd="1" destOrd="0" presId="urn:microsoft.com/office/officeart/2008/layout/HorizontalMultiLevelHierarchy"/>
    <dgm:cxn modelId="{5DC62BDF-8AA5-4B4F-823B-8A98902C3EDA}" type="presOf" srcId="{822EDA74-9E07-42B1-9410-9FB2F3A56A88}" destId="{1A8A632D-6C5D-48BD-BAE6-A7DB9349ABFA}" srcOrd="0" destOrd="0" presId="urn:microsoft.com/office/officeart/2008/layout/HorizontalMultiLevelHierarchy"/>
    <dgm:cxn modelId="{49730FED-7E87-4F92-A61A-B2E1A1AC9732}" type="presOf" srcId="{D4C5781B-0E57-4197-B9EC-A61F738A23CD}" destId="{9142D89C-C297-439B-B5C9-F74D8DFF5D98}" srcOrd="0" destOrd="0" presId="urn:microsoft.com/office/officeart/2008/layout/HorizontalMultiLevelHierarchy"/>
    <dgm:cxn modelId="{393670F7-F821-4FA4-BD55-551D44C5DEF8}" type="presOf" srcId="{C8AA8389-FEDE-4D51-8519-8C95038FC620}" destId="{66457FEE-AF3B-47EB-91D1-497236D46B57}" srcOrd="1" destOrd="0" presId="urn:microsoft.com/office/officeart/2008/layout/HorizontalMultiLevelHierarchy"/>
    <dgm:cxn modelId="{1CD57C6B-5907-4428-B413-BB1622AD384F}" type="presParOf" srcId="{C2699D0B-6C36-4FFA-B7D9-2BA2B5E361DB}" destId="{1596594A-12A0-4FB3-B71C-F4B73FD03753}" srcOrd="0" destOrd="0" presId="urn:microsoft.com/office/officeart/2008/layout/HorizontalMultiLevelHierarchy"/>
    <dgm:cxn modelId="{90553CEA-8FD9-4782-9818-CD43DF0C7CAB}" type="presParOf" srcId="{1596594A-12A0-4FB3-B71C-F4B73FD03753}" destId="{51DCA4C6-DDD3-4609-93AE-114729648C03}" srcOrd="0" destOrd="0" presId="urn:microsoft.com/office/officeart/2008/layout/HorizontalMultiLevelHierarchy"/>
    <dgm:cxn modelId="{C62F5425-7DBD-40E5-ACE5-55C2DDA84AE7}" type="presParOf" srcId="{1596594A-12A0-4FB3-B71C-F4B73FD03753}" destId="{2FC2508D-875E-467B-9C71-4C64B0C57D48}" srcOrd="1" destOrd="0" presId="urn:microsoft.com/office/officeart/2008/layout/HorizontalMultiLevelHierarchy"/>
    <dgm:cxn modelId="{391FE16F-AFD9-4594-ACF2-FC515AFEE270}" type="presParOf" srcId="{2FC2508D-875E-467B-9C71-4C64B0C57D48}" destId="{AE257EE2-218D-458A-905A-83D9233032F6}" srcOrd="0" destOrd="0" presId="urn:microsoft.com/office/officeart/2008/layout/HorizontalMultiLevelHierarchy"/>
    <dgm:cxn modelId="{C6E4C7AA-0A27-4392-9296-2105F61CD2D3}" type="presParOf" srcId="{AE257EE2-218D-458A-905A-83D9233032F6}" destId="{54CA4D8A-2C0F-4FA5-94F8-3B526C6ED70D}" srcOrd="0" destOrd="0" presId="urn:microsoft.com/office/officeart/2008/layout/HorizontalMultiLevelHierarchy"/>
    <dgm:cxn modelId="{5A7933ED-67E5-4E91-893D-F28B9B133931}" type="presParOf" srcId="{2FC2508D-875E-467B-9C71-4C64B0C57D48}" destId="{ACE32089-FC3C-421E-B010-56F671D06389}" srcOrd="1" destOrd="0" presId="urn:microsoft.com/office/officeart/2008/layout/HorizontalMultiLevelHierarchy"/>
    <dgm:cxn modelId="{35D85183-34FE-4E49-960E-D9C3F5A7A26B}" type="presParOf" srcId="{ACE32089-FC3C-421E-B010-56F671D06389}" destId="{9142D89C-C297-439B-B5C9-F74D8DFF5D98}" srcOrd="0" destOrd="0" presId="urn:microsoft.com/office/officeart/2008/layout/HorizontalMultiLevelHierarchy"/>
    <dgm:cxn modelId="{D3B9DE5D-4AB0-45E5-B5B3-E8996EC66752}" type="presParOf" srcId="{ACE32089-FC3C-421E-B010-56F671D06389}" destId="{9FB5B5BD-611A-4E03-9029-34E8C1DC6E66}" srcOrd="1" destOrd="0" presId="urn:microsoft.com/office/officeart/2008/layout/HorizontalMultiLevelHierarchy"/>
    <dgm:cxn modelId="{E9CFF269-5A5D-40E2-AD08-86695425CE36}" type="presParOf" srcId="{9FB5B5BD-611A-4E03-9029-34E8C1DC6E66}" destId="{6637D602-DEC9-41FF-9F16-B4EADFE8ED0C}" srcOrd="0" destOrd="0" presId="urn:microsoft.com/office/officeart/2008/layout/HorizontalMultiLevelHierarchy"/>
    <dgm:cxn modelId="{8653CF46-40E0-4BAF-8C0A-93B9414BA0E7}" type="presParOf" srcId="{6637D602-DEC9-41FF-9F16-B4EADFE8ED0C}" destId="{3E15628A-1227-4F94-8523-AD0B29065D0D}" srcOrd="0" destOrd="0" presId="urn:microsoft.com/office/officeart/2008/layout/HorizontalMultiLevelHierarchy"/>
    <dgm:cxn modelId="{B49396A5-B80A-40A9-936A-F2DB242549E9}" type="presParOf" srcId="{9FB5B5BD-611A-4E03-9029-34E8C1DC6E66}" destId="{261AD3D1-7C68-4089-8B61-293E2EED2CF4}" srcOrd="1" destOrd="0" presId="urn:microsoft.com/office/officeart/2008/layout/HorizontalMultiLevelHierarchy"/>
    <dgm:cxn modelId="{033C259E-C7D9-43F6-86B1-89820CC671BC}" type="presParOf" srcId="{261AD3D1-7C68-4089-8B61-293E2EED2CF4}" destId="{8D6DDC5D-7D3D-43B6-A6F9-4B382B448580}" srcOrd="0" destOrd="0" presId="urn:microsoft.com/office/officeart/2008/layout/HorizontalMultiLevelHierarchy"/>
    <dgm:cxn modelId="{2C5D576C-CD5D-4232-BD6D-B4BD15E0AC21}" type="presParOf" srcId="{261AD3D1-7C68-4089-8B61-293E2EED2CF4}" destId="{853363F7-7A73-4231-8AA5-CD96F7F92F31}" srcOrd="1" destOrd="0" presId="urn:microsoft.com/office/officeart/2008/layout/HorizontalMultiLevelHierarchy"/>
    <dgm:cxn modelId="{9DA7F7E6-0293-4422-866A-946E79EBFCBE}" type="presParOf" srcId="{9FB5B5BD-611A-4E03-9029-34E8C1DC6E66}" destId="{1A8A632D-6C5D-48BD-BAE6-A7DB9349ABFA}" srcOrd="2" destOrd="0" presId="urn:microsoft.com/office/officeart/2008/layout/HorizontalMultiLevelHierarchy"/>
    <dgm:cxn modelId="{70F98A70-E89F-4DEE-A1BD-EB0B6F665925}" type="presParOf" srcId="{1A8A632D-6C5D-48BD-BAE6-A7DB9349ABFA}" destId="{CC5F5346-D1B8-486D-9AE6-E1D2773DB505}" srcOrd="0" destOrd="0" presId="urn:microsoft.com/office/officeart/2008/layout/HorizontalMultiLevelHierarchy"/>
    <dgm:cxn modelId="{2C3ECB26-F136-4FBE-ABF7-628EEAB0A9CD}" type="presParOf" srcId="{9FB5B5BD-611A-4E03-9029-34E8C1DC6E66}" destId="{7834045C-C7FF-4A74-9676-C8426CEE8006}" srcOrd="3" destOrd="0" presId="urn:microsoft.com/office/officeart/2008/layout/HorizontalMultiLevelHierarchy"/>
    <dgm:cxn modelId="{EE6FD9C3-48E0-4237-BA3B-84EAC5A1DACF}" type="presParOf" srcId="{7834045C-C7FF-4A74-9676-C8426CEE8006}" destId="{DA02D90A-174F-4555-9B34-508716979500}" srcOrd="0" destOrd="0" presId="urn:microsoft.com/office/officeart/2008/layout/HorizontalMultiLevelHierarchy"/>
    <dgm:cxn modelId="{15CBF5A9-9FCF-4F38-9529-6E2B8BBB0EA7}" type="presParOf" srcId="{7834045C-C7FF-4A74-9676-C8426CEE8006}" destId="{64374623-60BF-4640-A62B-BB0598988AF7}" srcOrd="1" destOrd="0" presId="urn:microsoft.com/office/officeart/2008/layout/HorizontalMultiLevelHierarchy"/>
    <dgm:cxn modelId="{968B3356-8361-405A-9620-CDB61976255D}" type="presParOf" srcId="{2FC2508D-875E-467B-9C71-4C64B0C57D48}" destId="{08F210F7-67DB-452C-9AA1-416A7E2917DA}" srcOrd="2" destOrd="0" presId="urn:microsoft.com/office/officeart/2008/layout/HorizontalMultiLevelHierarchy"/>
    <dgm:cxn modelId="{166197E1-A3F6-480B-8A37-6D1CFE5BAAD6}" type="presParOf" srcId="{08F210F7-67DB-452C-9AA1-416A7E2917DA}" destId="{D06AFD22-8D5F-46DB-9F0F-784F3E5D9C5A}" srcOrd="0" destOrd="0" presId="urn:microsoft.com/office/officeart/2008/layout/HorizontalMultiLevelHierarchy"/>
    <dgm:cxn modelId="{41A52EA1-3E39-4171-A722-2EEF51E2F4E6}" type="presParOf" srcId="{2FC2508D-875E-467B-9C71-4C64B0C57D48}" destId="{03761EB4-7D6D-4813-9FED-4641A4690B00}" srcOrd="3" destOrd="0" presId="urn:microsoft.com/office/officeart/2008/layout/HorizontalMultiLevelHierarchy"/>
    <dgm:cxn modelId="{D0200123-9AC2-429F-A01E-E604C6021D4B}" type="presParOf" srcId="{03761EB4-7D6D-4813-9FED-4641A4690B00}" destId="{5A57BD76-8720-49C7-8CDB-95AFF5DAC299}" srcOrd="0" destOrd="0" presId="urn:microsoft.com/office/officeart/2008/layout/HorizontalMultiLevelHierarchy"/>
    <dgm:cxn modelId="{E5849828-C8AB-4EC8-B2DD-AD813DDEBDB7}" type="presParOf" srcId="{03761EB4-7D6D-4813-9FED-4641A4690B00}" destId="{1958E4C3-54AD-491C-A127-F975CE41840C}" srcOrd="1" destOrd="0" presId="urn:microsoft.com/office/officeart/2008/layout/HorizontalMultiLevelHierarchy"/>
    <dgm:cxn modelId="{A4962F44-1083-4C4A-8655-31C9B39DE92B}" type="presParOf" srcId="{1958E4C3-54AD-491C-A127-F975CE41840C}" destId="{F11E6C55-ADE9-4A26-A185-98012A4EE37C}" srcOrd="0" destOrd="0" presId="urn:microsoft.com/office/officeart/2008/layout/HorizontalMultiLevelHierarchy"/>
    <dgm:cxn modelId="{6DA664AA-E20D-4273-A845-F95F977AE6A4}" type="presParOf" srcId="{F11E6C55-ADE9-4A26-A185-98012A4EE37C}" destId="{D96352EA-2229-4CB1-85B2-25A4108920DB}" srcOrd="0" destOrd="0" presId="urn:microsoft.com/office/officeart/2008/layout/HorizontalMultiLevelHierarchy"/>
    <dgm:cxn modelId="{BF7D814A-6184-49E8-B560-AC0D09DADDD9}" type="presParOf" srcId="{1958E4C3-54AD-491C-A127-F975CE41840C}" destId="{353C08E3-A682-49B8-8078-53BDE25623EA}" srcOrd="1" destOrd="0" presId="urn:microsoft.com/office/officeart/2008/layout/HorizontalMultiLevelHierarchy"/>
    <dgm:cxn modelId="{BDBF8C88-E81B-4D23-9778-8F1EAA081B61}" type="presParOf" srcId="{353C08E3-A682-49B8-8078-53BDE25623EA}" destId="{B80C656C-34D9-4C34-8EC4-C5228F3C5E92}" srcOrd="0" destOrd="0" presId="urn:microsoft.com/office/officeart/2008/layout/HorizontalMultiLevelHierarchy"/>
    <dgm:cxn modelId="{753EEAC2-C309-4A47-B153-9E14ECDEDE72}" type="presParOf" srcId="{353C08E3-A682-49B8-8078-53BDE25623EA}" destId="{A0911834-B922-4256-82F5-79B2AE3FC3B0}" srcOrd="1" destOrd="0" presId="urn:microsoft.com/office/officeart/2008/layout/HorizontalMultiLevelHierarchy"/>
    <dgm:cxn modelId="{49773551-69D2-4590-A078-EB5DB0D317DD}" type="presParOf" srcId="{1958E4C3-54AD-491C-A127-F975CE41840C}" destId="{62762D98-BC1D-46C8-980F-09B4DC778BAE}" srcOrd="2" destOrd="0" presId="urn:microsoft.com/office/officeart/2008/layout/HorizontalMultiLevelHierarchy"/>
    <dgm:cxn modelId="{BA804609-30E3-40BF-98F3-748289DE520C}" type="presParOf" srcId="{62762D98-BC1D-46C8-980F-09B4DC778BAE}" destId="{40892473-6620-4DA9-BC96-0A15EB6D5F69}" srcOrd="0" destOrd="0" presId="urn:microsoft.com/office/officeart/2008/layout/HorizontalMultiLevelHierarchy"/>
    <dgm:cxn modelId="{68812F11-9B24-4D96-8765-7B92F16DEDDF}" type="presParOf" srcId="{1958E4C3-54AD-491C-A127-F975CE41840C}" destId="{88F8963F-7425-41FE-8423-4ACB051479A4}" srcOrd="3" destOrd="0" presId="urn:microsoft.com/office/officeart/2008/layout/HorizontalMultiLevelHierarchy"/>
    <dgm:cxn modelId="{3E2695F3-5300-45F1-AF9C-69C4C11C2BDD}" type="presParOf" srcId="{88F8963F-7425-41FE-8423-4ACB051479A4}" destId="{1BD7492A-CB5D-4280-B18D-E21356069C48}" srcOrd="0" destOrd="0" presId="urn:microsoft.com/office/officeart/2008/layout/HorizontalMultiLevelHierarchy"/>
    <dgm:cxn modelId="{99334F64-3A4B-488E-AFED-0B925ABEB7C3}" type="presParOf" srcId="{88F8963F-7425-41FE-8423-4ACB051479A4}" destId="{FC843C94-C426-4F82-854C-39189608641B}" srcOrd="1" destOrd="0" presId="urn:microsoft.com/office/officeart/2008/layout/HorizontalMultiLevelHierarchy"/>
    <dgm:cxn modelId="{F37D48D5-0DF0-4B56-B61C-7155A1123DD1}" type="presParOf" srcId="{2FC2508D-875E-467B-9C71-4C64B0C57D48}" destId="{4F7B9A74-596A-4567-A637-1F7EBA1310F0}" srcOrd="4" destOrd="0" presId="urn:microsoft.com/office/officeart/2008/layout/HorizontalMultiLevelHierarchy"/>
    <dgm:cxn modelId="{B9B5863C-601A-44F4-A7AD-6E0BB425F945}" type="presParOf" srcId="{4F7B9A74-596A-4567-A637-1F7EBA1310F0}" destId="{66457FEE-AF3B-47EB-91D1-497236D46B57}" srcOrd="0" destOrd="0" presId="urn:microsoft.com/office/officeart/2008/layout/HorizontalMultiLevelHierarchy"/>
    <dgm:cxn modelId="{AB61E569-0CDD-425C-A7EC-22C3A336A55A}" type="presParOf" srcId="{2FC2508D-875E-467B-9C71-4C64B0C57D48}" destId="{12745C40-48A6-4D3F-8941-46774819C5A6}" srcOrd="5" destOrd="0" presId="urn:microsoft.com/office/officeart/2008/layout/HorizontalMultiLevelHierarchy"/>
    <dgm:cxn modelId="{4893FF88-20A5-42A3-9F8C-9E7D744FAF2A}" type="presParOf" srcId="{12745C40-48A6-4D3F-8941-46774819C5A6}" destId="{DB3BC6B5-0940-4504-90D6-CF4C43905E59}" srcOrd="0" destOrd="0" presId="urn:microsoft.com/office/officeart/2008/layout/HorizontalMultiLevelHierarchy"/>
    <dgm:cxn modelId="{C0422256-7622-4C57-B1AE-E7F9F5A63256}" type="presParOf" srcId="{12745C40-48A6-4D3F-8941-46774819C5A6}" destId="{4E300AD5-E1A0-4732-B7DE-0DDB5BDCD390}" srcOrd="1" destOrd="0" presId="urn:microsoft.com/office/officeart/2008/layout/HorizontalMultiLevelHierarchy"/>
    <dgm:cxn modelId="{2237AB84-37F2-474A-A29E-0C43D4672641}" type="presParOf" srcId="{4E300AD5-E1A0-4732-B7DE-0DDB5BDCD390}" destId="{37374DA1-F985-4EFA-B1B4-492CB16D3C90}" srcOrd="0" destOrd="0" presId="urn:microsoft.com/office/officeart/2008/layout/HorizontalMultiLevelHierarchy"/>
    <dgm:cxn modelId="{B3AA66A5-55A8-4D07-91A5-A207FC6F8878}" type="presParOf" srcId="{37374DA1-F985-4EFA-B1B4-492CB16D3C90}" destId="{42C6073B-790D-4673-B7E7-064E507C6E0B}" srcOrd="0" destOrd="0" presId="urn:microsoft.com/office/officeart/2008/layout/HorizontalMultiLevelHierarchy"/>
    <dgm:cxn modelId="{0624099D-52F8-450D-9A97-7DD1B0D509E2}" type="presParOf" srcId="{4E300AD5-E1A0-4732-B7DE-0DDB5BDCD390}" destId="{1CDF3C47-6FC8-4914-8E11-FD29A4CCA5DC}" srcOrd="1" destOrd="0" presId="urn:microsoft.com/office/officeart/2008/layout/HorizontalMultiLevelHierarchy"/>
    <dgm:cxn modelId="{0C2599D0-EC0C-469F-A9E7-254FC95E03B2}" type="presParOf" srcId="{1CDF3C47-6FC8-4914-8E11-FD29A4CCA5DC}" destId="{D0CD88EB-DB4A-43AF-A052-B2D7E30F7B38}" srcOrd="0" destOrd="0" presId="urn:microsoft.com/office/officeart/2008/layout/HorizontalMultiLevelHierarchy"/>
    <dgm:cxn modelId="{E7521589-476F-43A4-9F45-9FFD1C4D5244}" type="presParOf" srcId="{1CDF3C47-6FC8-4914-8E11-FD29A4CCA5DC}" destId="{91BFBE1F-E5CE-47CA-A97D-3FEEF98C0A5A}" srcOrd="1" destOrd="0" presId="urn:microsoft.com/office/officeart/2008/layout/HorizontalMultiLevelHierarchy"/>
    <dgm:cxn modelId="{D79C53EE-FBA0-493F-84F5-96D073AF4E43}" type="presParOf" srcId="{4E300AD5-E1A0-4732-B7DE-0DDB5BDCD390}" destId="{DDCC3B89-A052-45BF-ADAE-3A9ADE8898E2}" srcOrd="2" destOrd="0" presId="urn:microsoft.com/office/officeart/2008/layout/HorizontalMultiLevelHierarchy"/>
    <dgm:cxn modelId="{3AB79042-33A0-4A91-9D97-3B678C6D894F}" type="presParOf" srcId="{DDCC3B89-A052-45BF-ADAE-3A9ADE8898E2}" destId="{874689A7-87BC-45BC-8130-55E33D7BC16B}" srcOrd="0" destOrd="0" presId="urn:microsoft.com/office/officeart/2008/layout/HorizontalMultiLevelHierarchy"/>
    <dgm:cxn modelId="{F9F5B096-8C9F-47F0-AEC4-246344DC43E6}" type="presParOf" srcId="{4E300AD5-E1A0-4732-B7DE-0DDB5BDCD390}" destId="{A5184FA3-C032-4333-9BDD-139864C5B98E}" srcOrd="3" destOrd="0" presId="urn:microsoft.com/office/officeart/2008/layout/HorizontalMultiLevelHierarchy"/>
    <dgm:cxn modelId="{30474E6D-264D-4EA6-A1C0-B988B5FD8EFB}" type="presParOf" srcId="{A5184FA3-C032-4333-9BDD-139864C5B98E}" destId="{B7BD43BB-2BA7-471B-9560-3CEB204A7EB5}" srcOrd="0" destOrd="0" presId="urn:microsoft.com/office/officeart/2008/layout/HorizontalMultiLevelHierarchy"/>
    <dgm:cxn modelId="{EE8039CC-CD11-4270-BA1C-528A53A37378}" type="presParOf" srcId="{A5184FA3-C032-4333-9BDD-139864C5B98E}" destId="{6A80FEDC-9993-430B-AF19-4009FF1ECAE0}" srcOrd="1" destOrd="0" presId="urn:microsoft.com/office/officeart/2008/layout/HorizontalMultiLevelHierarchy"/>
  </dgm:cxnLst>
  <dgm:bg/>
  <dgm:whole>
    <a:ln>
      <a:noFill/>
    </a:ln>
  </dgm:whole>
  <dgm:extLst>
    <a:ext uri="http://schemas.microsoft.com/office/drawing/2008/diagram">
      <dsp:dataModelExt xmlns:dsp="http://schemas.microsoft.com/office/drawing/2008/diagram" relId="rId9"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DCC3B89-A052-45BF-ADAE-3A9ADE8898E2}">
      <dsp:nvSpPr>
        <dsp:cNvPr id="0" name=""/>
        <dsp:cNvSpPr/>
      </dsp:nvSpPr>
      <dsp:spPr>
        <a:xfrm>
          <a:off x="2849484" y="2621755"/>
          <a:ext cx="394940" cy="255606"/>
        </a:xfrm>
        <a:custGeom>
          <a:avLst/>
          <a:gdLst/>
          <a:ahLst/>
          <a:cxnLst/>
          <a:rect l="0" t="0" r="0" b="0"/>
          <a:pathLst>
            <a:path>
              <a:moveTo>
                <a:pt x="0" y="0"/>
              </a:moveTo>
              <a:lnTo>
                <a:pt x="197470" y="0"/>
              </a:lnTo>
              <a:lnTo>
                <a:pt x="197470" y="255606"/>
              </a:lnTo>
              <a:lnTo>
                <a:pt x="394940" y="255606"/>
              </a:lnTo>
            </a:path>
          </a:pathLst>
        </a:custGeom>
        <a:noFill/>
        <a:ln w="12700" cap="flat" cmpd="sng" algn="ctr">
          <a:solidFill>
            <a:schemeClr val="bg1">
              <a:lumMod val="75000"/>
            </a:schemeClr>
          </a:solidFill>
          <a:prstDash val="solid"/>
          <a:miter lim="800000"/>
          <a:tailEnd type="triangle" w="lg" len="me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EC" sz="500" kern="1200">
            <a:solidFill>
              <a:sysClr val="windowText" lastClr="000000"/>
            </a:solidFill>
          </a:endParaRPr>
        </a:p>
      </dsp:txBody>
      <dsp:txXfrm>
        <a:off x="3035194" y="2737798"/>
        <a:ext cx="23521" cy="23521"/>
      </dsp:txXfrm>
    </dsp:sp>
    <dsp:sp modelId="{37374DA1-F985-4EFA-B1B4-492CB16D3C90}">
      <dsp:nvSpPr>
        <dsp:cNvPr id="0" name=""/>
        <dsp:cNvSpPr/>
      </dsp:nvSpPr>
      <dsp:spPr>
        <a:xfrm>
          <a:off x="2849484" y="2336140"/>
          <a:ext cx="394940" cy="285615"/>
        </a:xfrm>
        <a:custGeom>
          <a:avLst/>
          <a:gdLst/>
          <a:ahLst/>
          <a:cxnLst/>
          <a:rect l="0" t="0" r="0" b="0"/>
          <a:pathLst>
            <a:path>
              <a:moveTo>
                <a:pt x="0" y="285615"/>
              </a:moveTo>
              <a:lnTo>
                <a:pt x="197470" y="285615"/>
              </a:lnTo>
              <a:lnTo>
                <a:pt x="197470" y="0"/>
              </a:lnTo>
              <a:lnTo>
                <a:pt x="394940" y="0"/>
              </a:lnTo>
            </a:path>
          </a:pathLst>
        </a:custGeom>
        <a:noFill/>
        <a:ln w="12700" cap="flat" cmpd="sng" algn="ctr">
          <a:solidFill>
            <a:schemeClr val="bg1">
              <a:lumMod val="75000"/>
            </a:schemeClr>
          </a:solidFill>
          <a:prstDash val="solid"/>
          <a:miter lim="800000"/>
          <a:tailEnd type="triangle" w="lg" len="me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EC" sz="500" kern="1200">
            <a:solidFill>
              <a:sysClr val="windowText" lastClr="000000"/>
            </a:solidFill>
          </a:endParaRPr>
        </a:p>
      </dsp:txBody>
      <dsp:txXfrm>
        <a:off x="3034770" y="2466763"/>
        <a:ext cx="24369" cy="24369"/>
      </dsp:txXfrm>
    </dsp:sp>
    <dsp:sp modelId="{4F7B9A74-596A-4567-A637-1F7EBA1310F0}">
      <dsp:nvSpPr>
        <dsp:cNvPr id="0" name=""/>
        <dsp:cNvSpPr/>
      </dsp:nvSpPr>
      <dsp:spPr>
        <a:xfrm>
          <a:off x="614950" y="1584324"/>
          <a:ext cx="394940" cy="1037430"/>
        </a:xfrm>
        <a:custGeom>
          <a:avLst/>
          <a:gdLst/>
          <a:ahLst/>
          <a:cxnLst/>
          <a:rect l="0" t="0" r="0" b="0"/>
          <a:pathLst>
            <a:path>
              <a:moveTo>
                <a:pt x="0" y="0"/>
              </a:moveTo>
              <a:lnTo>
                <a:pt x="197470" y="0"/>
              </a:lnTo>
              <a:lnTo>
                <a:pt x="197470" y="1037430"/>
              </a:lnTo>
              <a:lnTo>
                <a:pt x="394940" y="1037430"/>
              </a:lnTo>
            </a:path>
          </a:pathLst>
        </a:custGeom>
        <a:noFill/>
        <a:ln w="12700" cap="flat" cmpd="sng" algn="ctr">
          <a:solidFill>
            <a:schemeClr val="bg1">
              <a:lumMod val="75000"/>
            </a:schemeClr>
          </a:solidFill>
          <a:prstDash val="solid"/>
          <a:miter lim="800000"/>
          <a:tailEnd type="triangle" w="lg" len="me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EC" sz="500" kern="1200">
            <a:solidFill>
              <a:sysClr val="windowText" lastClr="000000"/>
            </a:solidFill>
          </a:endParaRPr>
        </a:p>
      </dsp:txBody>
      <dsp:txXfrm>
        <a:off x="784669" y="2075288"/>
        <a:ext cx="55503" cy="55503"/>
      </dsp:txXfrm>
    </dsp:sp>
    <dsp:sp modelId="{62762D98-BC1D-46C8-980F-09B4DC778BAE}">
      <dsp:nvSpPr>
        <dsp:cNvPr id="0" name=""/>
        <dsp:cNvSpPr/>
      </dsp:nvSpPr>
      <dsp:spPr>
        <a:xfrm>
          <a:off x="2849484" y="1569320"/>
          <a:ext cx="394940" cy="255606"/>
        </a:xfrm>
        <a:custGeom>
          <a:avLst/>
          <a:gdLst/>
          <a:ahLst/>
          <a:cxnLst/>
          <a:rect l="0" t="0" r="0" b="0"/>
          <a:pathLst>
            <a:path>
              <a:moveTo>
                <a:pt x="0" y="0"/>
              </a:moveTo>
              <a:lnTo>
                <a:pt x="197470" y="0"/>
              </a:lnTo>
              <a:lnTo>
                <a:pt x="197470" y="255606"/>
              </a:lnTo>
              <a:lnTo>
                <a:pt x="394940" y="255606"/>
              </a:lnTo>
            </a:path>
          </a:pathLst>
        </a:custGeom>
        <a:noFill/>
        <a:ln w="12700" cap="flat" cmpd="sng" algn="ctr">
          <a:solidFill>
            <a:schemeClr val="bg1">
              <a:lumMod val="75000"/>
            </a:schemeClr>
          </a:solidFill>
          <a:prstDash val="solid"/>
          <a:miter lim="800000"/>
          <a:tailEnd type="triangle" w="lg" len="me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EC" sz="500" kern="1200">
            <a:solidFill>
              <a:sysClr val="windowText" lastClr="000000"/>
            </a:solidFill>
          </a:endParaRPr>
        </a:p>
      </dsp:txBody>
      <dsp:txXfrm>
        <a:off x="3035194" y="1685362"/>
        <a:ext cx="23521" cy="23521"/>
      </dsp:txXfrm>
    </dsp:sp>
    <dsp:sp modelId="{F11E6C55-ADE9-4A26-A185-98012A4EE37C}">
      <dsp:nvSpPr>
        <dsp:cNvPr id="0" name=""/>
        <dsp:cNvSpPr/>
      </dsp:nvSpPr>
      <dsp:spPr>
        <a:xfrm>
          <a:off x="2849484" y="1313713"/>
          <a:ext cx="394940" cy="255606"/>
        </a:xfrm>
        <a:custGeom>
          <a:avLst/>
          <a:gdLst/>
          <a:ahLst/>
          <a:cxnLst/>
          <a:rect l="0" t="0" r="0" b="0"/>
          <a:pathLst>
            <a:path>
              <a:moveTo>
                <a:pt x="0" y="255606"/>
              </a:moveTo>
              <a:lnTo>
                <a:pt x="197470" y="255606"/>
              </a:lnTo>
              <a:lnTo>
                <a:pt x="197470" y="0"/>
              </a:lnTo>
              <a:lnTo>
                <a:pt x="394940" y="0"/>
              </a:lnTo>
            </a:path>
          </a:pathLst>
        </a:custGeom>
        <a:noFill/>
        <a:ln w="12700" cap="flat" cmpd="sng" algn="ctr">
          <a:solidFill>
            <a:schemeClr val="bg1">
              <a:lumMod val="75000"/>
            </a:schemeClr>
          </a:solidFill>
          <a:prstDash val="solid"/>
          <a:miter lim="800000"/>
          <a:tailEnd type="triangle" w="lg" len="me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EC" sz="500" kern="1200">
            <a:solidFill>
              <a:sysClr val="windowText" lastClr="000000"/>
            </a:solidFill>
          </a:endParaRPr>
        </a:p>
      </dsp:txBody>
      <dsp:txXfrm>
        <a:off x="3035194" y="1429756"/>
        <a:ext cx="23521" cy="23521"/>
      </dsp:txXfrm>
    </dsp:sp>
    <dsp:sp modelId="{08F210F7-67DB-452C-9AA1-416A7E2917DA}">
      <dsp:nvSpPr>
        <dsp:cNvPr id="0" name=""/>
        <dsp:cNvSpPr/>
      </dsp:nvSpPr>
      <dsp:spPr>
        <a:xfrm>
          <a:off x="614950" y="1523600"/>
          <a:ext cx="394940" cy="91440"/>
        </a:xfrm>
        <a:custGeom>
          <a:avLst/>
          <a:gdLst/>
          <a:ahLst/>
          <a:cxnLst/>
          <a:rect l="0" t="0" r="0" b="0"/>
          <a:pathLst>
            <a:path>
              <a:moveTo>
                <a:pt x="0" y="60724"/>
              </a:moveTo>
              <a:lnTo>
                <a:pt x="197470" y="60724"/>
              </a:lnTo>
              <a:lnTo>
                <a:pt x="197470" y="45720"/>
              </a:lnTo>
              <a:lnTo>
                <a:pt x="394940" y="45720"/>
              </a:lnTo>
            </a:path>
          </a:pathLst>
        </a:custGeom>
        <a:noFill/>
        <a:ln w="12700" cap="flat" cmpd="sng" algn="ctr">
          <a:solidFill>
            <a:schemeClr val="bg1">
              <a:lumMod val="75000"/>
            </a:schemeClr>
          </a:solidFill>
          <a:prstDash val="solid"/>
          <a:miter lim="800000"/>
          <a:tailEnd type="triangle" w="lg" len="me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EC" sz="500" kern="1200">
            <a:solidFill>
              <a:sysClr val="windowText" lastClr="000000"/>
            </a:solidFill>
          </a:endParaRPr>
        </a:p>
      </dsp:txBody>
      <dsp:txXfrm>
        <a:off x="802540" y="1559439"/>
        <a:ext cx="19761" cy="19761"/>
      </dsp:txXfrm>
    </dsp:sp>
    <dsp:sp modelId="{1A8A632D-6C5D-48BD-BAE6-A7DB9349ABFA}">
      <dsp:nvSpPr>
        <dsp:cNvPr id="0" name=""/>
        <dsp:cNvSpPr/>
      </dsp:nvSpPr>
      <dsp:spPr>
        <a:xfrm>
          <a:off x="2849484" y="546894"/>
          <a:ext cx="394940" cy="255606"/>
        </a:xfrm>
        <a:custGeom>
          <a:avLst/>
          <a:gdLst/>
          <a:ahLst/>
          <a:cxnLst/>
          <a:rect l="0" t="0" r="0" b="0"/>
          <a:pathLst>
            <a:path>
              <a:moveTo>
                <a:pt x="0" y="0"/>
              </a:moveTo>
              <a:lnTo>
                <a:pt x="197470" y="0"/>
              </a:lnTo>
              <a:lnTo>
                <a:pt x="197470" y="255606"/>
              </a:lnTo>
              <a:lnTo>
                <a:pt x="394940" y="255606"/>
              </a:lnTo>
            </a:path>
          </a:pathLst>
        </a:custGeom>
        <a:noFill/>
        <a:ln w="12700" cap="flat" cmpd="sng" algn="ctr">
          <a:solidFill>
            <a:schemeClr val="bg1">
              <a:lumMod val="75000"/>
            </a:schemeClr>
          </a:solidFill>
          <a:prstDash val="solid"/>
          <a:miter lim="800000"/>
          <a:tailEnd type="triangle" w="lg" len="me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EC" sz="500" kern="1200">
            <a:solidFill>
              <a:sysClr val="windowText" lastClr="000000"/>
            </a:solidFill>
          </a:endParaRPr>
        </a:p>
      </dsp:txBody>
      <dsp:txXfrm>
        <a:off x="3035194" y="662936"/>
        <a:ext cx="23521" cy="23521"/>
      </dsp:txXfrm>
    </dsp:sp>
    <dsp:sp modelId="{6637D602-DEC9-41FF-9F16-B4EADFE8ED0C}">
      <dsp:nvSpPr>
        <dsp:cNvPr id="0" name=""/>
        <dsp:cNvSpPr/>
      </dsp:nvSpPr>
      <dsp:spPr>
        <a:xfrm>
          <a:off x="2849484" y="291287"/>
          <a:ext cx="394940" cy="255606"/>
        </a:xfrm>
        <a:custGeom>
          <a:avLst/>
          <a:gdLst/>
          <a:ahLst/>
          <a:cxnLst/>
          <a:rect l="0" t="0" r="0" b="0"/>
          <a:pathLst>
            <a:path>
              <a:moveTo>
                <a:pt x="0" y="255606"/>
              </a:moveTo>
              <a:lnTo>
                <a:pt x="197470" y="255606"/>
              </a:lnTo>
              <a:lnTo>
                <a:pt x="197470" y="0"/>
              </a:lnTo>
              <a:lnTo>
                <a:pt x="394940" y="0"/>
              </a:lnTo>
            </a:path>
          </a:pathLst>
        </a:custGeom>
        <a:noFill/>
        <a:ln w="12700" cap="flat" cmpd="sng" algn="ctr">
          <a:solidFill>
            <a:schemeClr val="bg1">
              <a:lumMod val="75000"/>
            </a:schemeClr>
          </a:solidFill>
          <a:prstDash val="solid"/>
          <a:miter lim="800000"/>
          <a:tailEnd type="triangle" w="lg" len="me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EC" sz="500" kern="1200">
            <a:solidFill>
              <a:sysClr val="windowText" lastClr="000000"/>
            </a:solidFill>
          </a:endParaRPr>
        </a:p>
      </dsp:txBody>
      <dsp:txXfrm>
        <a:off x="3035194" y="407329"/>
        <a:ext cx="23521" cy="23521"/>
      </dsp:txXfrm>
    </dsp:sp>
    <dsp:sp modelId="{AE257EE2-218D-458A-905A-83D9233032F6}">
      <dsp:nvSpPr>
        <dsp:cNvPr id="0" name=""/>
        <dsp:cNvSpPr/>
      </dsp:nvSpPr>
      <dsp:spPr>
        <a:xfrm>
          <a:off x="614950" y="546894"/>
          <a:ext cx="394940" cy="1037430"/>
        </a:xfrm>
        <a:custGeom>
          <a:avLst/>
          <a:gdLst/>
          <a:ahLst/>
          <a:cxnLst/>
          <a:rect l="0" t="0" r="0" b="0"/>
          <a:pathLst>
            <a:path>
              <a:moveTo>
                <a:pt x="0" y="1037430"/>
              </a:moveTo>
              <a:lnTo>
                <a:pt x="197470" y="1037430"/>
              </a:lnTo>
              <a:lnTo>
                <a:pt x="197470" y="0"/>
              </a:lnTo>
              <a:lnTo>
                <a:pt x="394940" y="0"/>
              </a:lnTo>
            </a:path>
          </a:pathLst>
        </a:custGeom>
        <a:noFill/>
        <a:ln w="12700" cap="flat" cmpd="sng" algn="ctr">
          <a:solidFill>
            <a:schemeClr val="bg1">
              <a:lumMod val="75000"/>
            </a:schemeClr>
          </a:solidFill>
          <a:prstDash val="solid"/>
          <a:miter lim="800000"/>
          <a:tailEnd type="triangle" w="lg" len="me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EC" sz="500" kern="1200">
            <a:solidFill>
              <a:sysClr val="windowText" lastClr="000000"/>
            </a:solidFill>
          </a:endParaRPr>
        </a:p>
      </dsp:txBody>
      <dsp:txXfrm>
        <a:off x="784669" y="1037858"/>
        <a:ext cx="55503" cy="55503"/>
      </dsp:txXfrm>
    </dsp:sp>
    <dsp:sp modelId="{51DCA4C6-DDD3-4609-93AE-114729648C03}">
      <dsp:nvSpPr>
        <dsp:cNvPr id="0" name=""/>
        <dsp:cNvSpPr/>
      </dsp:nvSpPr>
      <dsp:spPr>
        <a:xfrm rot="16200000">
          <a:off x="-1193138" y="1360560"/>
          <a:ext cx="3168649" cy="447529"/>
        </a:xfrm>
        <a:prstGeom prst="rect">
          <a:avLst/>
        </a:prstGeom>
        <a:noFill/>
        <a:ln w="12700" cap="flat" cmpd="sng" algn="ctr">
          <a:no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s-EC" sz="1000" b="1" kern="1200">
              <a:solidFill>
                <a:sysClr val="windowText" lastClr="000000"/>
              </a:solidFill>
              <a:latin typeface="Times New Roman" panose="02020603050405020304" pitchFamily="18" charset="0"/>
              <a:cs typeface="Times New Roman" panose="02020603050405020304" pitchFamily="18" charset="0"/>
            </a:rPr>
            <a:t>Estructura de la estrategia metodológica propuesta</a:t>
          </a:r>
        </a:p>
      </dsp:txBody>
      <dsp:txXfrm>
        <a:off x="-1193138" y="1360560"/>
        <a:ext cx="3168649" cy="447529"/>
      </dsp:txXfrm>
    </dsp:sp>
    <dsp:sp modelId="{9142D89C-C297-439B-B5C9-F74D8DFF5D98}">
      <dsp:nvSpPr>
        <dsp:cNvPr id="0" name=""/>
        <dsp:cNvSpPr/>
      </dsp:nvSpPr>
      <dsp:spPr>
        <a:xfrm>
          <a:off x="1009891" y="366543"/>
          <a:ext cx="1839593" cy="360702"/>
        </a:xfrm>
        <a:prstGeom prst="rect">
          <a:avLst/>
        </a:prstGeom>
        <a:noFill/>
        <a:ln w="12700" cap="flat" cmpd="sng" algn="ctr">
          <a:no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s-EC" sz="1000" b="1" kern="1200">
              <a:solidFill>
                <a:sysClr val="windowText" lastClr="000000"/>
              </a:solidFill>
              <a:latin typeface="Times New Roman" panose="02020603050405020304" pitchFamily="18" charset="0"/>
              <a:cs typeface="Times New Roman" panose="02020603050405020304" pitchFamily="18" charset="0"/>
            </a:rPr>
            <a:t>Componente técnico – normativo base</a:t>
          </a:r>
        </a:p>
      </dsp:txBody>
      <dsp:txXfrm>
        <a:off x="1009891" y="366543"/>
        <a:ext cx="1839593" cy="360702"/>
      </dsp:txXfrm>
    </dsp:sp>
    <dsp:sp modelId="{8D6DDC5D-7D3D-43B6-A6F9-4B382B448580}">
      <dsp:nvSpPr>
        <dsp:cNvPr id="0" name=""/>
        <dsp:cNvSpPr/>
      </dsp:nvSpPr>
      <dsp:spPr>
        <a:xfrm>
          <a:off x="3244425" y="110936"/>
          <a:ext cx="2019943" cy="360702"/>
        </a:xfrm>
        <a:prstGeom prst="rect">
          <a:avLst/>
        </a:prstGeom>
        <a:noFill/>
        <a:ln w="12700" cap="flat" cmpd="sng" algn="ctr">
          <a:no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s-EC" sz="1000" kern="1200">
              <a:solidFill>
                <a:sysClr val="windowText" lastClr="000000"/>
              </a:solidFill>
              <a:latin typeface="Times New Roman" panose="02020603050405020304" pitchFamily="18" charset="0"/>
              <a:cs typeface="Times New Roman" panose="02020603050405020304" pitchFamily="18" charset="0"/>
            </a:rPr>
            <a:t>Reconocimiento de peligros/riesgos</a:t>
          </a:r>
        </a:p>
      </dsp:txBody>
      <dsp:txXfrm>
        <a:off x="3244425" y="110936"/>
        <a:ext cx="2019943" cy="360702"/>
      </dsp:txXfrm>
    </dsp:sp>
    <dsp:sp modelId="{DA02D90A-174F-4555-9B34-508716979500}">
      <dsp:nvSpPr>
        <dsp:cNvPr id="0" name=""/>
        <dsp:cNvSpPr/>
      </dsp:nvSpPr>
      <dsp:spPr>
        <a:xfrm>
          <a:off x="3244425" y="622149"/>
          <a:ext cx="2019943" cy="360702"/>
        </a:xfrm>
        <a:prstGeom prst="rect">
          <a:avLst/>
        </a:prstGeom>
        <a:noFill/>
        <a:ln w="12700" cap="flat" cmpd="sng" algn="ctr">
          <a:no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s-EC" sz="1000" kern="1200">
              <a:solidFill>
                <a:sysClr val="windowText" lastClr="000000"/>
              </a:solidFill>
              <a:latin typeface="Times New Roman" panose="02020603050405020304" pitchFamily="18" charset="0"/>
              <a:cs typeface="Times New Roman" panose="02020603050405020304" pitchFamily="18" charset="0"/>
            </a:rPr>
            <a:t>Criterios preventiva acorde a peligros/riesgos</a:t>
          </a:r>
        </a:p>
      </dsp:txBody>
      <dsp:txXfrm>
        <a:off x="3244425" y="622149"/>
        <a:ext cx="2019943" cy="360702"/>
      </dsp:txXfrm>
    </dsp:sp>
    <dsp:sp modelId="{5A57BD76-8720-49C7-8CDB-95AFF5DAC299}">
      <dsp:nvSpPr>
        <dsp:cNvPr id="0" name=""/>
        <dsp:cNvSpPr/>
      </dsp:nvSpPr>
      <dsp:spPr>
        <a:xfrm>
          <a:off x="1009891" y="1388969"/>
          <a:ext cx="1839593" cy="360702"/>
        </a:xfrm>
        <a:prstGeom prst="rect">
          <a:avLst/>
        </a:prstGeom>
        <a:noFill/>
        <a:ln w="12700" cap="flat" cmpd="sng" algn="ctr">
          <a:no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s-EC" sz="1000" b="1" kern="1200">
              <a:solidFill>
                <a:sysClr val="windowText" lastClr="000000"/>
              </a:solidFill>
              <a:latin typeface="Times New Roman" panose="02020603050405020304" pitchFamily="18" charset="0"/>
              <a:cs typeface="Times New Roman" panose="02020603050405020304" pitchFamily="18" charset="0"/>
            </a:rPr>
            <a:t>Cuestionarios de chequeo</a:t>
          </a:r>
        </a:p>
      </dsp:txBody>
      <dsp:txXfrm>
        <a:off x="1009891" y="1388969"/>
        <a:ext cx="1839593" cy="360702"/>
      </dsp:txXfrm>
    </dsp:sp>
    <dsp:sp modelId="{B80C656C-34D9-4C34-8EC4-C5228F3C5E92}">
      <dsp:nvSpPr>
        <dsp:cNvPr id="0" name=""/>
        <dsp:cNvSpPr/>
      </dsp:nvSpPr>
      <dsp:spPr>
        <a:xfrm>
          <a:off x="3244425" y="1133362"/>
          <a:ext cx="2019943" cy="360702"/>
        </a:xfrm>
        <a:prstGeom prst="rect">
          <a:avLst/>
        </a:prstGeom>
        <a:noFill/>
        <a:ln w="12700" cap="flat" cmpd="sng" algn="ctr">
          <a:no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s-EC" sz="1000" kern="1200">
              <a:solidFill>
                <a:sysClr val="windowText" lastClr="000000"/>
              </a:solidFill>
              <a:latin typeface="Times New Roman" panose="02020603050405020304" pitchFamily="18" charset="0"/>
              <a:cs typeface="Times New Roman" panose="02020603050405020304" pitchFamily="18" charset="0"/>
            </a:rPr>
            <a:t>Determinación de requisitos técnico-legales por riesgo</a:t>
          </a:r>
        </a:p>
      </dsp:txBody>
      <dsp:txXfrm>
        <a:off x="3244425" y="1133362"/>
        <a:ext cx="2019943" cy="360702"/>
      </dsp:txXfrm>
    </dsp:sp>
    <dsp:sp modelId="{1BD7492A-CB5D-4280-B18D-E21356069C48}">
      <dsp:nvSpPr>
        <dsp:cNvPr id="0" name=""/>
        <dsp:cNvSpPr/>
      </dsp:nvSpPr>
      <dsp:spPr>
        <a:xfrm>
          <a:off x="3244425" y="1644576"/>
          <a:ext cx="2019943" cy="360702"/>
        </a:xfrm>
        <a:prstGeom prst="rect">
          <a:avLst/>
        </a:prstGeom>
        <a:noFill/>
        <a:ln w="12700" cap="flat" cmpd="sng" algn="ctr">
          <a:no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s-EC" sz="1000" kern="1200">
              <a:solidFill>
                <a:sysClr val="windowText" lastClr="000000"/>
              </a:solidFill>
              <a:latin typeface="Times New Roman" panose="02020603050405020304" pitchFamily="18" charset="0"/>
              <a:cs typeface="Times New Roman" panose="02020603050405020304" pitchFamily="18" charset="0"/>
            </a:rPr>
            <a:t>Detección de deficiencias ND</a:t>
          </a:r>
        </a:p>
      </dsp:txBody>
      <dsp:txXfrm>
        <a:off x="3244425" y="1644576"/>
        <a:ext cx="2019943" cy="360702"/>
      </dsp:txXfrm>
    </dsp:sp>
    <dsp:sp modelId="{DB3BC6B5-0940-4504-90D6-CF4C43905E59}">
      <dsp:nvSpPr>
        <dsp:cNvPr id="0" name=""/>
        <dsp:cNvSpPr/>
      </dsp:nvSpPr>
      <dsp:spPr>
        <a:xfrm>
          <a:off x="1009891" y="2441404"/>
          <a:ext cx="1839593" cy="360702"/>
        </a:xfrm>
        <a:prstGeom prst="rect">
          <a:avLst/>
        </a:prstGeom>
        <a:noFill/>
        <a:ln w="12700" cap="flat" cmpd="sng" algn="ctr">
          <a:no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s-EC" sz="1000" b="1" kern="1200">
              <a:solidFill>
                <a:sysClr val="windowText" lastClr="000000"/>
              </a:solidFill>
              <a:latin typeface="Times New Roman" panose="02020603050405020304" pitchFamily="18" charset="0"/>
              <a:cs typeface="Times New Roman" panose="02020603050405020304" pitchFamily="18" charset="0"/>
            </a:rPr>
            <a:t>Análisis de Riesgos en el Trabajo</a:t>
          </a:r>
        </a:p>
      </dsp:txBody>
      <dsp:txXfrm>
        <a:off x="1009891" y="2441404"/>
        <a:ext cx="1839593" cy="360702"/>
      </dsp:txXfrm>
    </dsp:sp>
    <dsp:sp modelId="{D0CD88EB-DB4A-43AF-A052-B2D7E30F7B38}">
      <dsp:nvSpPr>
        <dsp:cNvPr id="0" name=""/>
        <dsp:cNvSpPr/>
      </dsp:nvSpPr>
      <dsp:spPr>
        <a:xfrm>
          <a:off x="3244425" y="2155789"/>
          <a:ext cx="2019943" cy="360702"/>
        </a:xfrm>
        <a:prstGeom prst="rect">
          <a:avLst/>
        </a:prstGeom>
        <a:noFill/>
        <a:ln w="12700" cap="flat" cmpd="sng" algn="ctr">
          <a:no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s-EC" sz="1000" kern="1200">
              <a:solidFill>
                <a:sysClr val="windowText" lastClr="000000"/>
              </a:solidFill>
              <a:latin typeface="Times New Roman" panose="02020603050405020304" pitchFamily="18" charset="0"/>
              <a:cs typeface="Times New Roman" panose="02020603050405020304" pitchFamily="18" charset="0"/>
            </a:rPr>
            <a:t>Valoración del riesgo por tarea a partir del ND</a:t>
          </a:r>
        </a:p>
      </dsp:txBody>
      <dsp:txXfrm>
        <a:off x="3244425" y="2155789"/>
        <a:ext cx="2019943" cy="360702"/>
      </dsp:txXfrm>
    </dsp:sp>
    <dsp:sp modelId="{B7BD43BB-2BA7-471B-9560-3CEB204A7EB5}">
      <dsp:nvSpPr>
        <dsp:cNvPr id="0" name=""/>
        <dsp:cNvSpPr/>
      </dsp:nvSpPr>
      <dsp:spPr>
        <a:xfrm>
          <a:off x="3244425" y="2667002"/>
          <a:ext cx="2019943" cy="420720"/>
        </a:xfrm>
        <a:prstGeom prst="rect">
          <a:avLst/>
        </a:prstGeom>
        <a:noFill/>
        <a:ln w="12700" cap="flat" cmpd="sng" algn="ctr">
          <a:no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s-EC" sz="1000" kern="1200">
              <a:solidFill>
                <a:sysClr val="windowText" lastClr="000000"/>
              </a:solidFill>
              <a:latin typeface="Times New Roman" panose="02020603050405020304" pitchFamily="18" charset="0"/>
              <a:cs typeface="Times New Roman" panose="02020603050405020304" pitchFamily="18" charset="0"/>
            </a:rPr>
            <a:t>Definición de controles de ingeniería dentro de la estrategia metodológica</a:t>
          </a:r>
          <a:endParaRPr lang="es-EC" sz="1000" kern="1200">
            <a:solidFill>
              <a:sysClr val="windowText" lastClr="000000"/>
            </a:solidFill>
            <a:highlight>
              <a:srgbClr val="FFFF00"/>
            </a:highlight>
            <a:latin typeface="Times New Roman" panose="02020603050405020304" pitchFamily="18" charset="0"/>
            <a:cs typeface="Times New Roman" panose="02020603050405020304" pitchFamily="18" charset="0"/>
          </a:endParaRPr>
        </a:p>
      </dsp:txBody>
      <dsp:txXfrm>
        <a:off x="3244425" y="2667002"/>
        <a:ext cx="2019943" cy="420720"/>
      </dsp:txXfrm>
    </dsp:sp>
  </dsp:spTree>
</dsp:drawing>
</file>

<file path=word/diagrams/layout1.xml><?xml version="1.0" encoding="utf-8"?>
<dgm:layoutDef xmlns:dgm="http://schemas.openxmlformats.org/drawingml/2006/diagram" xmlns:a="http://schemas.openxmlformats.org/drawingml/2006/main" uniqueId="urn:microsoft.com/office/officeart/2008/layout/HorizontalMultiLevelHierarchy">
  <dgm:title val=""/>
  <dgm:desc val=""/>
  <dgm:catLst>
    <dgm:cat type="hierarchy" pri="46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clrData>
  <dgm:layoutNode name="Name0">
    <dgm:varLst>
      <dgm:chPref val="1"/>
      <dgm:dir/>
      <dgm:animOne val="branch"/>
      <dgm:animLvl val="lvl"/>
      <dgm:resizeHandles val="exact"/>
    </dgm:varLst>
    <dgm:choose name="Name1">
      <dgm:if name="Name2" func="var" arg="dir" op="equ" val="norm">
        <dgm:alg type="hierChild">
          <dgm:param type="linDir" val="fromT"/>
          <dgm:param type="chAlign" val="l"/>
        </dgm:alg>
      </dgm:if>
      <dgm:else name="Name3">
        <dgm:alg type="hierChild">
          <dgm:param type="linDir" val="fromT"/>
          <dgm:param type="chAlign" val="r"/>
        </dgm:alg>
      </dgm:else>
    </dgm:choose>
    <dgm:shape xmlns:r="http://schemas.openxmlformats.org/officeDocument/2006/relationships" r:blip="">
      <dgm:adjLst/>
    </dgm:shape>
    <dgm:presOf/>
    <dgm:constrLst>
      <dgm:constr type="h" for="des" forName="LevelOneTextNode" refType="h"/>
      <dgm:constr type="w" for="des" forName="LevelOneTextNode" refType="h" refFor="des" refForName="LevelOneTextNode" fact="0.19"/>
      <dgm:constr type="h" for="des" forName="LevelTwoTextNode" refType="w" refFor="des" refForName="LevelOneTextNode"/>
      <dgm:constr type="w" for="des" forName="LevelTwoTextNode" refType="h" refFor="des" refForName="LevelTwoTextNode" fact="3.28"/>
      <dgm:constr type="sibSp" refType="h" refFor="des" refForName="LevelTwoTextNode" op="equ" fact="0.25"/>
      <dgm:constr type="sibSp" for="des" forName="level2hierChild" refType="h" refFor="des" refForName="LevelTwoTextNode" op="equ" fact="0.25"/>
      <dgm:constr type="sibSp" for="des" forName="level3hierChild" refType="h" refFor="des" refForName="LevelTwoTextNode" op="equ" fact="0.25"/>
      <dgm:constr type="sp" for="des" forName="root1" refType="w" refFor="des" refForName="LevelTwoTextNode" fact="0.2"/>
      <dgm:constr type="sp" for="des" forName="root2" refType="sp" refFor="des" refForName="root1" op="equ"/>
      <dgm:constr type="primFontSz" for="des" forName="LevelOneTextNode" op="equ" val="65"/>
      <dgm:constr type="primFontSz" for="des" forName="LevelTwoTextNode" op="equ" val="65"/>
      <dgm:constr type="primFontSz" for="des" forName="LevelTwoTextNode" refType="primFontSz" refFor="des" refForName="LevelOneTextNode" op="lte"/>
      <dgm:constr type="primFontSz" for="des" forName="connTx" op="equ" val="50"/>
      <dgm:constr type="primFontSz" for="des" forName="connTx" refType="primFontSz" refFor="des" refForName="LevelOneTextNode" op="lte" fact="0.78"/>
    </dgm:constrLst>
    <dgm:forEach name="Name4" axis="ch">
      <dgm:forEach name="Name5" axis="self" ptType="node">
        <dgm:layoutNode name="root1">
          <dgm:choose name="Name6">
            <dgm:if name="Name7" func="var" arg="dir" op="equ" val="norm">
              <dgm:alg type="hierRoot">
                <dgm:param type="hierAlign" val="lCtrCh"/>
              </dgm:alg>
            </dgm:if>
            <dgm:else name="Name8">
              <dgm:alg type="hierRoot">
                <dgm:param type="hierAlign" val="rCtrCh"/>
              </dgm:alg>
            </dgm:else>
          </dgm:choose>
          <dgm:shape xmlns:r="http://schemas.openxmlformats.org/officeDocument/2006/relationships" r:blip="">
            <dgm:adjLst/>
          </dgm:shape>
          <dgm:presOf/>
          <dgm:layoutNode name="LevelOneTextNode" styleLbl="node0">
            <dgm:varLst>
              <dgm:chPref val="3"/>
            </dgm:varLst>
            <dgm:alg type="tx">
              <dgm:param type="autoTxRot" val="grav"/>
            </dgm:alg>
            <dgm:choose name="Name9">
              <dgm:if name="Name10" func="var" arg="dir" op="equ" val="norm">
                <dgm:shape xmlns:r="http://schemas.openxmlformats.org/officeDocument/2006/relationships" rot="270" type="rect" r:blip="">
                  <dgm:adjLst/>
                </dgm:shape>
              </dgm:if>
              <dgm:else name="Name11">
                <dgm:shape xmlns:r="http://schemas.openxmlformats.org/officeDocument/2006/relationships" rot="90" type="rect" r:blip="">
                  <dgm:adjLst/>
                </dgm:shape>
              </dgm:else>
            </dgm:choos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2hierChild">
            <dgm:choose name="Name12">
              <dgm:if name="Name13" func="var" arg="dir" op="equ" val="norm">
                <dgm:alg type="hierChild">
                  <dgm:param type="linDir" val="fromT"/>
                  <dgm:param type="chAlign" val="l"/>
                </dgm:alg>
              </dgm:if>
              <dgm:else name="Name14">
                <dgm:alg type="hierChild">
                  <dgm:param type="linDir" val="fromT"/>
                  <dgm:param type="chAlign" val="r"/>
                </dgm:alg>
              </dgm:else>
            </dgm:choose>
            <dgm:shape xmlns:r="http://schemas.openxmlformats.org/officeDocument/2006/relationships" r:blip="">
              <dgm:adjLst/>
            </dgm:shape>
            <dgm:presOf/>
            <dgm:forEach name="repeat" axis="ch">
              <dgm:forEach name="Name15" axis="self" ptType="parTrans" cnt="1">
                <dgm:layoutNode name="conn2-1">
                  <dgm:choose name="Name16">
                    <dgm:if name="Name17" func="var" arg="dir" op="equ" val="norm">
                      <dgm:alg type="conn">
                        <dgm:param type="dim" val="1D"/>
                        <dgm:param type="begPts" val="midR"/>
                        <dgm:param type="endPts" val="midL"/>
                        <dgm:param type="endSty" val="noArr"/>
                        <dgm:param type="connRout" val="bend"/>
                      </dgm:alg>
                    </dgm:if>
                    <dgm:else name="Name18">
                      <dgm:alg type="conn">
                        <dgm:param type="dim" val="1D"/>
                        <dgm:param type="begPts" val="midL"/>
                        <dgm:param type="endPts" val="midR"/>
                        <dgm:param type="endSty" val="noArr"/>
                        <dgm:param type="connRout" val="bend"/>
                      </dgm:alg>
                    </dgm:else>
                  </dgm:choose>
                  <dgm:shape xmlns:r="http://schemas.openxmlformats.org/officeDocument/2006/relationships" type="conn" r:blip="" zOrderOff="-99999">
                    <dgm:adjLst/>
                  </dgm:shape>
                  <dgm:presOf axis="self"/>
                  <dgm:constrLst>
                    <dgm:constr type="w" val="1"/>
                    <dgm:constr type="h" val="5"/>
                    <dgm:constr type="connDist"/>
                    <dgm:constr type="begPad"/>
                    <dgm:constr type="endPad"/>
                    <dgm:constr type="userA" for="ch" refType="connDist"/>
                  </dgm:constr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19" axis="self" ptType="node">
                <dgm:layoutNode name="root2">
                  <dgm:choose name="Name20">
                    <dgm:if name="Name21" func="var" arg="dir" op="equ" val="norm">
                      <dgm:alg type="hierRoot">
                        <dgm:param type="hierAlign" val="lCtrCh"/>
                      </dgm:alg>
                    </dgm:if>
                    <dgm:else name="Name22">
                      <dgm:alg type="hierRoot">
                        <dgm:param type="hierAlign" val="rCtrCh"/>
                      </dgm:alg>
                    </dgm:else>
                  </dgm:choose>
                  <dgm:shape xmlns:r="http://schemas.openxmlformats.org/officeDocument/2006/relationships" r:blip="">
                    <dgm:adjLst/>
                  </dgm:shape>
                  <dgm:presOf/>
                  <dgm:layoutNode name="LevelTwoTextNode">
                    <dgm:varLst>
                      <dgm:chPref val="3"/>
                    </dgm:varLst>
                    <dgm:alg type="tx"/>
                    <dgm:shape xmlns:r="http://schemas.openxmlformats.org/officeDocument/2006/relationships" type="rect" r:blip="">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3hierChild">
                    <dgm:choose name="Name23">
                      <dgm:if name="Name24" func="var" arg="dir" op="equ" val="norm">
                        <dgm:alg type="hierChild">
                          <dgm:param type="linDir" val="fromT"/>
                          <dgm:param type="chAlign" val="l"/>
                        </dgm:alg>
                      </dgm:if>
                      <dgm:else name="Name25">
                        <dgm:alg type="hierChild">
                          <dgm:param type="linDir" val="fromT"/>
                          <dgm:param type="chAlign" val="r"/>
                        </dgm:alg>
                      </dgm:else>
                    </dgm:choose>
                    <dgm:shape xmlns:r="http://schemas.openxmlformats.org/officeDocument/2006/relationships" r:blip="">
                      <dgm:adjLst/>
                    </dgm:shape>
                    <dgm:presOf/>
                    <dgm:forEach name="Name26" ref="repeat"/>
                  </dgm:layoutNode>
                </dgm:layoutNode>
              </dgm:forEach>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95</TotalTime>
  <Pages>6</Pages>
  <Words>1890</Words>
  <Characters>10398</Characters>
  <Application>Microsoft Office Word</Application>
  <DocSecurity>0</DocSecurity>
  <Lines>86</Lines>
  <Paragraphs>24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BUCHELI GARCIA JORGE ALEXANDER</dc:creator>
  <cp:keywords/>
  <dc:description/>
  <cp:lastModifiedBy>BUCHELI GARCIA JORGE ALEXANDER</cp:lastModifiedBy>
  <cp:revision>1</cp:revision>
  <dcterms:created xsi:type="dcterms:W3CDTF">2026-10-07T18:45:00Z</dcterms:created>
  <dcterms:modified xsi:type="dcterms:W3CDTF">2026-10-07T20:30:00Z</dcterms:modified>
</cp:coreProperties>
</file>