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D046" w14:textId="77777777" w:rsidR="0051483B" w:rsidRPr="00351175" w:rsidRDefault="0051483B" w:rsidP="0051483B">
      <w:pPr>
        <w:pStyle w:val="Ttulo1"/>
      </w:pPr>
      <w:bookmarkStart w:id="0" w:name="_Toc235442640"/>
      <w:r w:rsidRPr="00351175">
        <w:t>RECOMENDACIONES</w:t>
      </w:r>
      <w:bookmarkEnd w:id="0"/>
    </w:p>
    <w:p w14:paraId="4B46F042" w14:textId="77777777" w:rsidR="0051483B" w:rsidRDefault="0051483B" w:rsidP="0051483B">
      <w:pPr>
        <w:pStyle w:val="APA7"/>
      </w:pPr>
      <w:r w:rsidRPr="00186342">
        <w:t>Las recomendaciones derivadas de la presente investigación se formulan considerando tres ámbitos de aplicación: metodológico, académico y práctico. Esta organización permite orientar los aportes del estudio hacia futuras investigaciones, el fortalecimiento del conocimiento académico y la aplicación operativa de la estrategia metodológica en proyectos reales de construcción.</w:t>
      </w:r>
    </w:p>
    <w:p w14:paraId="7B7C0437" w14:textId="77777777" w:rsidR="0051483B" w:rsidRDefault="0051483B" w:rsidP="0051483B">
      <w:pPr>
        <w:pStyle w:val="APA7"/>
      </w:pPr>
      <w:r w:rsidRPr="00186342">
        <w:t>Desde el ámbito metodológico, se recomienda que futuros estudios amplíen el alcance de los instrumentos desarrollados en la presente investigación, promoviendo el diseño de cuestionarios de chequeo no solo para riesgos laborales de seguridad, sino también para riesgos físicos, químicos, biológicos, ergonómicos y psicosociales. Esta ampliación permitiría consolidar una herramienta más integral para la gestión de la seguridad y salud en el trabajo, manteniendo la lógica metodológica basada en la determinación del Nivel de Deficiencia conforme a la NTP 324 y su posterior integración con la evaluación de riesgos según la NTP 330.</w:t>
      </w:r>
    </w:p>
    <w:p w14:paraId="5FBAB5ED" w14:textId="77777777" w:rsidR="0051483B" w:rsidRDefault="0051483B" w:rsidP="0051483B">
      <w:pPr>
        <w:pStyle w:val="APA7"/>
      </w:pPr>
      <w:r w:rsidRPr="00186342">
        <w:t>Como orientación metodológica para investigaciones posteriores, se recomienda que el proceso de evaluación de riesgos en proyectos de construcción continúe desarrollándose mediante enfoques predominantemente cuantitativos o mixtos, con el propósito de reducir la subjetividad en la valoración de los riesgos laborales. En este contexto, el uso de cuestionarios de chequeo estructurados constituye una herramienta pertinente para fortalecer la objetividad, trazabilidad y comparabilidad de los resultados en proyectos de edificación e infraestructura básica.</w:t>
      </w:r>
    </w:p>
    <w:p w14:paraId="18E2405B" w14:textId="77777777" w:rsidR="0051483B" w:rsidRDefault="0051483B" w:rsidP="0051483B">
      <w:pPr>
        <w:pStyle w:val="APA7"/>
      </w:pPr>
      <w:r w:rsidRPr="00186342">
        <w:t>Desde una perspectiva práctica, se recomienda que los Análisis de Riesgo en el Trabajo (ART) sean incorporados y divulgados de manera sistemática entre los trabajadores, supervisores, responsables de seguridad y equipos técnicos de proyectos de construcción. Su socialización en obra fortalece la comprensión de las tareas, los riesgos asociados y las medidas de control aplicables, contribuyendo a una gestión preventiva más clara, participativa y operativa. Además, esta práctica favorece el cumplimiento de lo establecido en el artículo 4, numeral 41, literal b, así como en los artículos 15 y 16 del Acuerdo Ministerial MDT-2025-122.</w:t>
      </w:r>
    </w:p>
    <w:p w14:paraId="3ACBB52E" w14:textId="77777777" w:rsidR="0051483B" w:rsidRDefault="0051483B" w:rsidP="0051483B">
      <w:pPr>
        <w:pStyle w:val="APA7"/>
      </w:pPr>
      <w:r w:rsidRPr="00186342">
        <w:lastRenderedPageBreak/>
        <w:t>En el ámbito práctico de aplicación de la propuesta, se recomienda que las entidades públicas y privadas del sector de la construcción alineen sus sistemas de gestión de seguridad y salud en el trabajo con la normativa ecuatoriana vigente, particularmente con el Acuerdo Ministerial MDT-2025-122. Para ello, resulta pertinente incorporar metodologías estructuradas que articulen cuestionarios de chequeo, evaluación de riesgos y ART, de modo que la gestión preventiva se apoye en instrumentos técnicos verificables y aplicables al nivel operativo de la obra.</w:t>
      </w:r>
    </w:p>
    <w:p w14:paraId="33F2828C" w14:textId="77777777" w:rsidR="0051483B" w:rsidRDefault="0051483B" w:rsidP="0051483B">
      <w:pPr>
        <w:pStyle w:val="APA7"/>
      </w:pPr>
      <w:r w:rsidRPr="00186342">
        <w:t>Desde una perspectiva metodológica y práctica, se recomienda que los cuestionarios de chequeo desarrollados sean reconocidos como instrumentos dinámicos, sujetos a revisión y actualización permanente en función de los cambios normativos, técnicos y operativos del sector de la construcción. Ante cualquier modificación o emisión de nueva normativa ecuatoriana en materia de seguridad y salud en el trabajo, estos instrumentos deben ser ajustados oportunamente para conservar su coherencia con el marco regulatorio vigente y garantizar su correcta aplicación en obra.</w:t>
      </w:r>
    </w:p>
    <w:p w14:paraId="798710B8" w14:textId="77777777" w:rsidR="0051483B" w:rsidRDefault="0051483B" w:rsidP="0051483B">
      <w:pPr>
        <w:pStyle w:val="APA7"/>
      </w:pPr>
      <w:r w:rsidRPr="00186342">
        <w:t>En el ámbito académico, se recomienda que la estrategia metodológica validada mediante el método Delphi sea considerada como una base para futuras investigaciones, trabajos académicos y estudios aplicados relacionados con la gestión preventiva de riesgos laborales en la construcción. Aunque la validación evidenció un alto nivel de consenso entre expertos respecto a su pertinencia, coherencia metodológica, viabilidad, aplicabilidad y aporte técnico-científico, resulta conveniente que nuevas investigaciones amplíen su contrastación empírica mediante aplicaciones longitudinales en obra, incorporando indicadores de desempeño preventivo, reducción de incidentes, eficacia de los controles de ingeniería y grado de adopción por parte de los equipos técnicos.</w:t>
      </w:r>
    </w:p>
    <w:p w14:paraId="4D995735" w14:textId="77777777" w:rsidR="0051483B" w:rsidRDefault="0051483B" w:rsidP="0051483B">
      <w:pPr>
        <w:pStyle w:val="APA7"/>
      </w:pPr>
    </w:p>
    <w:p w14:paraId="4355740E" w14:textId="77777777" w:rsidR="009C094D" w:rsidRDefault="009C094D"/>
    <w:sectPr w:rsidR="009C09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3B"/>
    <w:rsid w:val="0042167A"/>
    <w:rsid w:val="004500FF"/>
    <w:rsid w:val="0051483B"/>
    <w:rsid w:val="009C094D"/>
    <w:rsid w:val="00AF79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1F9D"/>
  <w15:chartTrackingRefBased/>
  <w15:docId w15:val="{B569176B-76A7-475B-896F-5E5B15D5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8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8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8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8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8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8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8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8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8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8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8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8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8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8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8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83B"/>
    <w:rPr>
      <w:rFonts w:eastAsiaTheme="majorEastAsia" w:cstheme="majorBidi"/>
      <w:color w:val="272727" w:themeColor="text1" w:themeTint="D8"/>
    </w:rPr>
  </w:style>
  <w:style w:type="paragraph" w:styleId="Ttulo">
    <w:name w:val="Title"/>
    <w:basedOn w:val="Normal"/>
    <w:next w:val="Normal"/>
    <w:link w:val="TtuloCar"/>
    <w:uiPriority w:val="10"/>
    <w:qFormat/>
    <w:rsid w:val="00514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8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8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8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83B"/>
    <w:pPr>
      <w:spacing w:before="160"/>
      <w:jc w:val="center"/>
    </w:pPr>
    <w:rPr>
      <w:i/>
      <w:iCs/>
      <w:color w:val="404040" w:themeColor="text1" w:themeTint="BF"/>
    </w:rPr>
  </w:style>
  <w:style w:type="character" w:customStyle="1" w:styleId="CitaCar">
    <w:name w:val="Cita Car"/>
    <w:basedOn w:val="Fuentedeprrafopredeter"/>
    <w:link w:val="Cita"/>
    <w:uiPriority w:val="29"/>
    <w:rsid w:val="0051483B"/>
    <w:rPr>
      <w:i/>
      <w:iCs/>
      <w:color w:val="404040" w:themeColor="text1" w:themeTint="BF"/>
    </w:rPr>
  </w:style>
  <w:style w:type="paragraph" w:styleId="Prrafodelista">
    <w:name w:val="List Paragraph"/>
    <w:basedOn w:val="Normal"/>
    <w:uiPriority w:val="34"/>
    <w:qFormat/>
    <w:rsid w:val="0051483B"/>
    <w:pPr>
      <w:ind w:left="720"/>
      <w:contextualSpacing/>
    </w:pPr>
  </w:style>
  <w:style w:type="character" w:styleId="nfasisintenso">
    <w:name w:val="Intense Emphasis"/>
    <w:basedOn w:val="Fuentedeprrafopredeter"/>
    <w:uiPriority w:val="21"/>
    <w:qFormat/>
    <w:rsid w:val="0051483B"/>
    <w:rPr>
      <w:i/>
      <w:iCs/>
      <w:color w:val="0F4761" w:themeColor="accent1" w:themeShade="BF"/>
    </w:rPr>
  </w:style>
  <w:style w:type="paragraph" w:styleId="Citadestacada">
    <w:name w:val="Intense Quote"/>
    <w:basedOn w:val="Normal"/>
    <w:next w:val="Normal"/>
    <w:link w:val="CitadestacadaCar"/>
    <w:uiPriority w:val="30"/>
    <w:qFormat/>
    <w:rsid w:val="00514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83B"/>
    <w:rPr>
      <w:i/>
      <w:iCs/>
      <w:color w:val="0F4761" w:themeColor="accent1" w:themeShade="BF"/>
    </w:rPr>
  </w:style>
  <w:style w:type="character" w:styleId="Referenciaintensa">
    <w:name w:val="Intense Reference"/>
    <w:basedOn w:val="Fuentedeprrafopredeter"/>
    <w:uiPriority w:val="32"/>
    <w:qFormat/>
    <w:rsid w:val="0051483B"/>
    <w:rPr>
      <w:b/>
      <w:bCs/>
      <w:smallCaps/>
      <w:color w:val="0F4761" w:themeColor="accent1" w:themeShade="BF"/>
      <w:spacing w:val="5"/>
    </w:rPr>
  </w:style>
  <w:style w:type="paragraph" w:customStyle="1" w:styleId="APA7">
    <w:name w:val="APA7"/>
    <w:basedOn w:val="Normal"/>
    <w:link w:val="APA7Car"/>
    <w:qFormat/>
    <w:rsid w:val="0051483B"/>
    <w:pPr>
      <w:spacing w:before="240" w:after="240" w:line="360" w:lineRule="auto"/>
      <w:ind w:firstLine="720"/>
    </w:pPr>
    <w:rPr>
      <w:rFonts w:ascii="Times New Roman" w:eastAsia="Times New Roman" w:hAnsi="Times New Roman" w:cs="Times New Roman"/>
      <w:kern w:val="0"/>
      <w:lang w:eastAsia="es-MX"/>
      <w14:ligatures w14:val="none"/>
    </w:rPr>
  </w:style>
  <w:style w:type="character" w:customStyle="1" w:styleId="APA7Car">
    <w:name w:val="APA7 Car"/>
    <w:basedOn w:val="Fuentedeprrafopredeter"/>
    <w:link w:val="APA7"/>
    <w:rsid w:val="0051483B"/>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632</Words>
  <Characters>3480</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cp:revision>
  <dcterms:created xsi:type="dcterms:W3CDTF">2026-10-12T19:38:00Z</dcterms:created>
  <dcterms:modified xsi:type="dcterms:W3CDTF">2026-10-12T19:38:00Z</dcterms:modified>
</cp:coreProperties>
</file>