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company announced a new initiative to reduce its carbon footprint by switching to renewable energy sources. Solar panels will be installed at all major offices, and company vehicles will be gradually replaced with electric models. The management hopes these changes will significantly lower greenhouse gas emissions over the next five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