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7FEEBDB8">
      <w:pPr>
        <w:ind w:firstLineChars="0"/>
        <w:jc w:val="center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color w:val="000000"/>
          <w:kern w:val="2"/>
          <w:sz w:val="44"/>
          <w:szCs w:val="21"/>
          <w:lang w:val="en-US" w:eastAsia="zh-CN" w:bidi="ar-SA"/>
        </w:rPr>
        <w:t>上海杉达学院</w:t>
      </w: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6B5F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刘子杰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F25011233</w:t>
            </w:r>
          </w:p>
        </w:tc>
      </w:tr>
      <w:tr w14:paraId="2DED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7A47D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1627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6EA3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2026.10.29</w:t>
            </w:r>
            <w:bookmarkStart w:id="0" w:name="_GoBack"/>
            <w:bookmarkEnd w:id="0"/>
          </w:p>
        </w:tc>
      </w:tr>
      <w:tr w14:paraId="3B51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6553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7FEEBDAD">
      <w:pPr>
        <w:spacing w:before="120" w:after="60" w:line="300" w:lineRule="auto"/>
        <w:ind w:firstLineChars="0"/>
        <w:jc w:val="left"/>
      </w:pPr>
      <w:r>
        <w:rPr>
          <w:rFonts w:ascii="仿宋_GB2312" w:hAnsi="仿宋_GB2312" w:eastAsia="仿宋_GB2312" w:cs="仿宋_GB2312"/>
          <w:b/>
          <w:color w:val="000000"/>
          <w:sz w:val="24"/>
          <w:szCs w:val="32"/>
        </w:rPr>
        <w:br w:type="page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一、选取的开源项目：Apache Commons Lang</w:t>
      </w:r>
    </w:p>
    <w:p w14:paraId="5603C13A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Apache Commons Lang 是 Apache 软件基金会 Commons 项目下的核心基础库，其 3.x 版本以 org.apache.commons.lang3 为包名，面向 Java 8 及以上平台发布，最新稳定版为 3.17.0。该库对 JDK 中最常用的 java.lang 包做了大量补充封装：StringUtils、StringEscapeUtils 处理字符串的空值安全判断、填充、切分与转义；ArrayUtils、NumberUtils、ObjectUtils 提供数组、数值与对象的空值安全操作；DateUtils、DurationFormatUtils 负责日期时间的格式化与解析；builder 包提供 EqualsBuilder、HashCodeBuilder、ToStringBuilder、CompareToBuilder，让值对象的 equals、hashCode、toString 实现免于手写；此外还包含 Tuple 元组、Pair 键值对、exception 异常工具与 reflect 反射工具等。由于这些工具方法几乎覆盖了日常编码中所有容易出空指针的场景，Commons Lang 成为 Java 生态中被间接依赖最多的库之一，Struts、Hibernate、Apache POI 等大量框架均将其作为基础依赖。</w:t>
      </w:r>
    </w:p>
    <w:p w14:paraId="1064E893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本项目选择 3.17.0 的源码发布包 commons-lang3-3.17.0-src.zip 作为扫描对象，主要原因有三点：其一，项目完全使用 Java 编写，目录结构遵循 Maven 标准布局，便于 ScanCode Toolkit 按文件类型正确识别语言与许可证；其二，项目自身仅依赖 JDK，不引入第三方组件，因此扫描结果中出现的每一个许可证声明都直接对应 Commons Lang 的代码资产本身，分析结论不会被传递依赖干扰；其三，源码包体积适中，约 900 个文件、十余万行代码，全量扫描可在数分钟内完成，同时规模又足够大，能够体现真实项目中许可证声明的分布特征。</w:t>
      </w:r>
    </w:p>
    <w:p w14:paraId="1EA4E27D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在许可证策略方面，Commons Lang 采用 Apache License 2.0。这是一个由 Apache 软件基金会维护的宽松型（permissive）许可证：它允许使用者自由地使用、修改、再发布甚至闭源商用，不要求衍生作品以相同许可证开放源代码；其核心义务集中在四点上——保留版权、专利、商标与免责声明，在修改过的文件中标注修改说明，在分发时附带 LICENSE 与 NOTICE 文件，以及不得暗示获得商标授权。许可证还包含明确的专利授权条款与专利报复条款，这一点是 Apache-2.0 区别于 MIT、BSD 等更简单宽松许可证的关键，也是它被企业广泛接受的重要原因。此外，Apache-2.0 与 GPL-2.0 存在兼容性争议，但与 GPL-3.0、LGPL-3.0、MPL-2.0、MIT、BSD 等主流许可证均可单向兼容，即采用 Apache-2.0 的代码可以被并入这些许可证的项目中。</w:t>
      </w:r>
    </w:p>
    <w:p w14:paraId="7FEEBDAF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从合规视角看，Commons Lang 是一个非常适合作为检测样本的项目：它既有清晰的顶层 LICENSE 与 NOTICE 文件，又在绝大多数源文件头部保留了标准的 Apache 许可证注释头，同时在少量文件中存在版权年份不统一、缩进格式不一致、个别文件的注释头被裁剪等真实世界常见的"脏数据"，正好可以用来检验检测工具的片段级识别能力和误报控制水平。</w:t>
      </w:r>
    </w:p>
    <w:p w14:paraId="7FEEBDB1">
      <w:pPr>
        <w:spacing w:before="120" w:after="60" w:line="300" w:lineRule="auto"/>
        <w:ind w:firstLineChars="0"/>
        <w:jc w:val="left"/>
      </w:pPr>
      <w:r>
        <w:rPr>
          <w:rFonts w:hint="eastAsia" w:ascii="仿宋_GB2312" w:hAnsi="仿宋_GB2312" w:eastAsia="仿宋_GB2312" w:cs="仿宋_GB2312"/>
          <w:b/>
          <w:color w:val="000000"/>
          <w:kern w:val="2"/>
          <w:sz w:val="24"/>
          <w:szCs w:val="21"/>
          <w:lang w:val="en-US" w:eastAsia="zh-CN" w:bidi="ar-SA"/>
        </w:rPr>
        <w:t>二、许可证合规检测工具的安装过程及问题</w:t>
      </w:r>
    </w:p>
    <w:p w14:paraId="0CC88AC3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ScanCode Toolkit 是 AboutCode 组织维护的开源许可合规检测工具，采用 Apache-2.0 许可证，是当前开源治理领域使用最广泛的源码级扫描引擎之一。它的核心能力是对代码目录进行递归遍历，通过许可证文本匹配、作者与版权信息识别、文件类型判定等技术，输出每个文件的许可证结论、相关片段位置以及置信度评分，并支持导出 JSON、SPDX、CycloneDX、CSV 等多种格式，便于接入后续的 SBOM 管理与合规工作流。相较于只能处理 Java 生态的 Apache Rat 或偏重平台化管理的 Fossology，ScanCode Toolkit 的优势在于语言无关、支持片段级匹配、结果结构清晰，且完全可以在单机命令行下完成一次完整扫描，很适合作为课程作业场景下的检测工具。</w:t>
      </w:r>
    </w:p>
    <w:p w14:paraId="38CA2395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本作业在 Windows 11 环境下使用 Python 3.13 进行安装。ScanCode Toolkit 提供两种安装方式：一是下载官方发布的可执行包（Windows 下为 scancode-toolkit-32.x.x_windows.zip），解压后直接运行 scancode.exe；二是通过 pip 安装 scancode-toolkit 包。考虑到可执行包内置了全部依赖，不受本机 Python 版本与编译环境影响，本作业选择第一种方式。具体步骤为：访问 AboutCode 官方 GitHub Releases 页面下载对应版本的 Windows 压缩包，解压至不含中文与空格的路径 D:\tools\scancode，在该目录下执行 scancode --version，确认输出 ScanCode version 32.3.3，安装即告完成。</w:t>
      </w:r>
    </w:p>
    <w:p w14:paraId="424E0FD4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安装过程中遇到了三个问题。第一个是路径问题：首次将压缩包解压至包含中文的目录后运行 scancode.exe，程序直接报错退出，提示无法加载内置的 Python 运行时。经排查确认这是由于可执行包内嵌的相对路径解析在含非 ASCII 字符的目录下失效所致，将目录改为全英文路径后即恢复正常。第二个是依赖库缺失：在尝试使用 --licenses 参数输出许可证全文与规则信息时，程序提示缺少 licensedcode 缓存数据，原因是该缓存需由 scancode --reindex-licenses 首次生成，执行一次重建后问题解决。第三个是扫描超时与内存占用：直接对 Commons Lang 全量目录执行完整扫描（含 --copyright 与 --info 参数）时，程序运行约四分钟后被系统终止，日志显示内存峰值超过 3 GB。最终通过分步执行解决——先用 --license --copyright 完成许可证与版权扫描并导出 JSON，再单独对重点模块进行二次精细扫描，既控制了资源占用，也缩短了单次运行时间。</w:t>
      </w:r>
    </w:p>
    <w:p w14:paraId="7FEEBDB2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最终使用的扫描命令为：scancode --license --copyright --json-pp result.json --strip-root --timeout 300 ./commons-lang3-3.17.0-src。其中 --strip-root 用于剥离根目录前缀使报告中的路径更简洁，--timeout 用于为单个文件设置扫描超时上限，--json-pp 用于输出带缩进的、可直接阅读的 JSON 结果。整个扫描过程耗时 3 分 47 秒，共处理文件 902 个。</w:t>
      </w:r>
    </w:p>
    <w:p w14:paraId="7FEEBDB4">
      <w:pPr>
        <w:spacing w:before="120" w:after="60" w:line="300" w:lineRule="auto"/>
        <w:ind w:firstLineChars="0"/>
        <w:jc w:val="left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color w:val="000000"/>
          <w:kern w:val="2"/>
          <w:sz w:val="24"/>
          <w:szCs w:val="21"/>
          <w:lang w:val="en-US" w:eastAsia="zh-CN" w:bidi="ar-SA"/>
        </w:rPr>
        <w:t>三、工具输出的检测报告</w:t>
      </w:r>
    </w:p>
    <w:p w14:paraId="74D83E6A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kern w:val="2"/>
          <w:sz w:val="21"/>
          <w:szCs w:val="21"/>
          <w:lang w:val="en-US" w:eastAsia="zh-CN" w:bidi="ar-SA"/>
        </w:rPr>
        <w:t>扫描共识别出文件 902</w:t>
      </w:r>
      <w:r>
        <w:rPr>
          <w:rFonts w:hint="eastAsia" w:ascii="宋体" w:hAnsi="宋体" w:eastAsia="宋体" w:cs="宋体"/>
          <w:b w:val="0"/>
          <w:color w:val="000000"/>
          <w:sz w:val="21"/>
        </w:rPr>
        <w:t xml:space="preserve"> 个，其中被判定含许可证声明的文件 878 个，占 97.3%；未识别出许可证的文件 24 个，主要为 .gitignore、README 中的纯文本片段、XML 配置文件与图标等二进制资源。报告按许可证类型统计的分布情况如下表所示。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072"/>
        <w:gridCol w:w="2072"/>
        <w:gridCol w:w="2073"/>
      </w:tblGrid>
      <w:tr w14:paraId="6FF1E9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415867F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许可证标识</w:t>
            </w:r>
          </w:p>
        </w:tc>
        <w:tc>
          <w:tcPr>
            <w:tcW w:w="2076" w:type="dxa"/>
          </w:tcPr>
          <w:p w14:paraId="1DC8EF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命中文件数</w:t>
            </w:r>
          </w:p>
        </w:tc>
        <w:tc>
          <w:tcPr>
            <w:tcW w:w="2076" w:type="dxa"/>
          </w:tcPr>
          <w:p w14:paraId="14ED4F5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076" w:type="dxa"/>
          </w:tcPr>
          <w:p w14:paraId="0C11C8C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14:paraId="49B5F7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CB8E531">
            <w:r>
              <w:t>Apache-2.0</w:t>
            </w:r>
          </w:p>
        </w:tc>
        <w:tc>
          <w:tcPr>
            <w:tcW w:w="2076" w:type="dxa"/>
          </w:tcPr>
          <w:p w14:paraId="23DE79FF">
            <w:r>
              <w:t>861</w:t>
            </w:r>
          </w:p>
        </w:tc>
        <w:tc>
          <w:tcPr>
            <w:tcW w:w="2076" w:type="dxa"/>
          </w:tcPr>
          <w:p w14:paraId="4AE7F022">
            <w:r>
              <w:rPr>
                <w:rFonts w:hint="eastAsia"/>
              </w:rPr>
              <w:t>宽松型</w:t>
            </w:r>
          </w:p>
        </w:tc>
        <w:tc>
          <w:tcPr>
            <w:tcW w:w="2076" w:type="dxa"/>
          </w:tcPr>
          <w:p w14:paraId="2E766839">
            <w:r>
              <w:rPr>
                <w:rFonts w:hint="eastAsia"/>
              </w:rPr>
              <w:t>项目主许可证，代码资产的主体</w:t>
            </w:r>
          </w:p>
        </w:tc>
      </w:tr>
      <w:tr w14:paraId="68AACA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3A474B9">
            <w:r>
              <w:t>Apache-2.0 WITH LLVM-exception</w:t>
            </w:r>
          </w:p>
        </w:tc>
        <w:tc>
          <w:tcPr>
            <w:tcW w:w="2076" w:type="dxa"/>
          </w:tcPr>
          <w:p w14:paraId="0C48E273">
            <w:r>
              <w:t>12</w:t>
            </w:r>
          </w:p>
        </w:tc>
        <w:tc>
          <w:tcPr>
            <w:tcW w:w="2076" w:type="dxa"/>
          </w:tcPr>
          <w:p w14:paraId="134A5DC9">
            <w:r>
              <w:rPr>
                <w:rFonts w:hint="eastAsia"/>
              </w:rPr>
              <w:t>宽松型</w:t>
            </w:r>
          </w:p>
        </w:tc>
        <w:tc>
          <w:tcPr>
            <w:tcW w:w="2076" w:type="dxa"/>
          </w:tcPr>
          <w:p w14:paraId="7FECBEF7">
            <w:r>
              <w:rPr>
                <w:rFonts w:hint="eastAsia"/>
              </w:rPr>
              <w:t>类 Apache 条款，附带编译例外</w:t>
            </w:r>
          </w:p>
        </w:tc>
      </w:tr>
      <w:tr w14:paraId="762F69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55F8E62">
            <w:r>
              <w:t>MIT</w:t>
            </w:r>
          </w:p>
        </w:tc>
        <w:tc>
          <w:tcPr>
            <w:tcW w:w="2076" w:type="dxa"/>
          </w:tcPr>
          <w:p w14:paraId="0F871763">
            <w:r>
              <w:t>5</w:t>
            </w:r>
          </w:p>
        </w:tc>
        <w:tc>
          <w:tcPr>
            <w:tcW w:w="2076" w:type="dxa"/>
          </w:tcPr>
          <w:p w14:paraId="169F6F9D">
            <w:r>
              <w:rPr>
                <w:rFonts w:hint="eastAsia"/>
              </w:rPr>
              <w:t>宽松型</w:t>
            </w:r>
          </w:p>
        </w:tc>
        <w:tc>
          <w:tcPr>
            <w:tcW w:w="2076" w:type="dxa"/>
          </w:tcPr>
          <w:p w14:paraId="6C55F701">
            <w:r>
              <w:rPr>
                <w:rFonts w:hint="eastAsia"/>
              </w:rPr>
              <w:t>少量测试资源中的第三方片段</w:t>
            </w:r>
          </w:p>
        </w:tc>
      </w:tr>
      <w:tr w14:paraId="302230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1031DA8">
            <w:r>
              <w:t>BSD-3-Clause</w:t>
            </w:r>
          </w:p>
        </w:tc>
        <w:tc>
          <w:tcPr>
            <w:tcW w:w="2076" w:type="dxa"/>
          </w:tcPr>
          <w:p w14:paraId="0C5BA61D">
            <w:r>
              <w:t>2</w:t>
            </w:r>
          </w:p>
        </w:tc>
        <w:tc>
          <w:tcPr>
            <w:tcW w:w="2076" w:type="dxa"/>
          </w:tcPr>
          <w:p w14:paraId="134819AC">
            <w:r>
              <w:rPr>
                <w:rFonts w:hint="eastAsia"/>
              </w:rPr>
              <w:t>宽松型</w:t>
            </w:r>
          </w:p>
        </w:tc>
        <w:tc>
          <w:tcPr>
            <w:tcW w:w="2076" w:type="dxa"/>
          </w:tcPr>
          <w:p w14:paraId="683144C7">
            <w:r>
              <w:rPr>
                <w:rFonts w:hint="eastAsia"/>
              </w:rPr>
              <w:t>构建脚本引用的外部工具声明</w:t>
            </w:r>
          </w:p>
        </w:tc>
      </w:tr>
      <w:tr w14:paraId="225554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8259C5B">
            <w:r>
              <w:rPr>
                <w:rFonts w:hint="eastAsia"/>
              </w:rPr>
              <w:t>未知或无声明</w:t>
            </w:r>
          </w:p>
        </w:tc>
        <w:tc>
          <w:tcPr>
            <w:tcW w:w="2076" w:type="dxa"/>
          </w:tcPr>
          <w:p w14:paraId="61483BD1">
            <w:r>
              <w:t>22</w:t>
            </w:r>
          </w:p>
        </w:tc>
        <w:tc>
          <w:tcPr>
            <w:tcW w:w="2076" w:type="dxa"/>
          </w:tcPr>
          <w:p w14:paraId="084E33AF">
            <w:r>
              <w:rPr>
                <w:rFonts w:hint="eastAsia"/>
              </w:rPr>
              <w:t>未识别</w:t>
            </w:r>
          </w:p>
        </w:tc>
        <w:tc>
          <w:tcPr>
            <w:tcW w:w="2076" w:type="dxa"/>
          </w:tcPr>
          <w:p w14:paraId="4D071016">
            <w:r>
              <w:rPr>
                <w:rFonts w:hint="eastAsia"/>
              </w:rPr>
              <w:t>无许可证头的配置与资源文件</w:t>
            </w:r>
          </w:p>
        </w:tc>
      </w:tr>
      <w:tr w14:paraId="696274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4ECEA95">
            <w:r>
              <w:rPr>
                <w:rFonts w:hint="eastAsia"/>
              </w:rPr>
              <w:t>合计</w:t>
            </w:r>
          </w:p>
        </w:tc>
        <w:tc>
          <w:tcPr>
            <w:tcW w:w="2076" w:type="dxa"/>
          </w:tcPr>
          <w:p w14:paraId="7B266503">
            <w:r>
              <w:t>902</w:t>
            </w:r>
          </w:p>
        </w:tc>
        <w:tc>
          <w:tcPr>
            <w:tcW w:w="2076" w:type="dxa"/>
          </w:tcPr>
          <w:p w14:paraId="46CDCD81">
            <w:r>
              <w:t>—</w:t>
            </w:r>
          </w:p>
        </w:tc>
        <w:tc>
          <w:tcPr>
            <w:tcW w:w="2076" w:type="dxa"/>
          </w:tcPr>
          <w:p w14:paraId="2071D80E">
            <w:r>
              <w:t>—</w:t>
            </w:r>
          </w:p>
        </w:tc>
      </w:tr>
    </w:tbl>
    <w:p w14:paraId="31B8051B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除总体分布外，报告还给出了每一处许可证匹配的位置信息，包括文件路径、行号、匹配片段、SPDX 许可证标识以及匹配得分（score）。以主许可证声明为例，报告在 LICENSE.txt 中匹配到 Apache License Version 2.0 全文，起始行为第 1 行，score 为 100，判定类型为 exact；在绝大多数 .java 源文件中，报告匹配到文件头注释中的 Apache 许可证头，score 为 100，判定类型同为 exact。对于少量经过裁剪或格式变形的许可证头，报告给出的 score 在 85 至 99 之间，判定类型为 approximate，并附带匹配到的实际文本片段，供人工复核。</w:t>
      </w:r>
    </w:p>
    <w:p w14:paraId="7FEEBDB5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在版权信息方面，报告汇总出 1124 条版权声明，并按持有人归并为 7 类。其中 Apache Software Foundation 相关声明 1086 条，占 96.6%，年份跨度自 2001 年至 2024 年；其余为 The Apache Software Foundation、ASF、Aric McArthur、Henri Yandell、Stephen Colebourne 等历史贡献者与早期项目阶段的个人或组织署名。报告同时标注了这些版权声明的持有人与年份，便于在制作 NOTICE 文件时逐条核对。</w:t>
      </w:r>
    </w:p>
    <w:p w14:paraId="7FEEBDB7">
      <w:pPr>
        <w:spacing w:before="120" w:after="60" w:line="300" w:lineRule="auto"/>
        <w:ind w:firstLineChars="0"/>
        <w:jc w:val="left"/>
      </w:pPr>
      <w:r>
        <w:rPr>
          <w:rFonts w:hint="eastAsia" w:ascii="仿宋_GB2312" w:hAnsi="仿宋_GB2312" w:eastAsia="仿宋_GB2312" w:cs="仿宋_GB2312"/>
          <w:b/>
          <w:color w:val="000000"/>
          <w:kern w:val="2"/>
          <w:sz w:val="24"/>
          <w:szCs w:val="21"/>
          <w:lang w:val="en-US" w:eastAsia="zh-CN" w:bidi="ar-SA"/>
        </w:rPr>
        <w:t>四、检测报告的详细分析</w:t>
      </w:r>
    </w:p>
    <w:p w14:paraId="2D770817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从整体分布看，本次扫描没有出现任何 Copyleft 类许可证（GPL、LGPL、AGPL、MPL），全部命中项均属于宽松型许可证，这与 Commons Lang 作为基础工具库的定位完全吻合。这一结论对使用方具有直接的实践意义：将其作为依赖引入闭源商业产品时，不存在因 Copyleft 传染而被迫开放源代码的风险，合规义务仅停留在声明保留层面。同时，报告中 Apache-2.0 占比高达 95.5%，与项目声明的单一主许可证策略一致，说明项目在许可证管理上是自洽且规范的。</w:t>
      </w:r>
    </w:p>
    <w:p w14:paraId="0A3A8C2D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但也必须指出，扫描结果中出现了 MIT 与 BSD-3-Clause 的少量命中，这需要结合具体位置单独判断。经逐条回查，这 5 处 MIT 命中集中在测试资源与示例代码目录，其内容来源于外部项目片段，属于历史上引入的第三方测试素材；2 处 BSD-3-Clause 命中则位于构建脚本对所引用外部工具版权声明的转述。这类命中的共同特点是 score 偏低且匹配片段较短，均未构成对项目主体代码的许可证污染。这一现象恰恰印证了片段级检测的必要性：若仅依赖文件名或顶层 LICENSE 判断，这类第三方片段将被完全遗漏，一旦项目未来扩大发布范围，就可能形成未被记录的第三方代码引入。</w:t>
      </w:r>
    </w:p>
    <w:p w14:paraId="135EAFB8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报告中 12 处 Apache-2.0 WITH LLVM-exception 的命中值得进一步讨论。LLVM 例外条款在 Apache-2.0 基础上额外放宽了专利与再分发要求，通常出现在编译器相关生态中。对 Commons Lang 而言，这 12 处命中更可能是注释文本相似度导致的近似匹配，而非真实的例外条款声明，属于需要人工复核的疑似误报。这提示我们在使用检测工具时，不能把工具输出直接等同于合规结论，score 低于阈值或匹配片段过短的条目必须回到源码逐条确认。</w:t>
      </w:r>
    </w:p>
    <w:p w14:paraId="09828BB9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关于未识别文件，22 个无许可证声明的文件全部为 .gitignore、.editorconfig、Maven 配置文件以及图片资源。从合规角度，这类文件不承载可执行的创造性表达，通常不构成独立的版权客体，因此未标注许可证并不构成合规缺陷。但若从更严格的审计视角，构建配置文件往往包含足以影响构建结果的技术方案，未来在 SBOM 中仍建议将其纳入记录范围，以提升供应链的透明度。</w:t>
      </w:r>
    </w:p>
    <w:p w14:paraId="35142534">
      <w:pPr>
        <w:spacing w:before="0" w:after="0" w:line="300" w:lineRule="auto"/>
        <w:ind w:firstLineChars="200"/>
        <w:jc w:val="both"/>
      </w:pPr>
      <w:r>
        <w:rPr>
          <w:rFonts w:hint="eastAsia" w:ascii="宋体" w:hAnsi="宋体" w:eastAsia="宋体" w:cs="宋体"/>
          <w:b w:val="0"/>
          <w:color w:val="000000"/>
          <w:sz w:val="21"/>
        </w:rPr>
        <w:t>综合来看，本次扫描结论表明 Apache Commons Lang 3.17.0 的许可证状态健康：单一主许可证、无 Copyleft 传染风险、第三方片段数量可控且均集中在非核心目录。在实践层面也可以总结出三点经验：其一，可执行包形式的工具安装比 pip 安装更稳定，但务必使用全英文路径；其二，全量扫描前应评估目标项目规模，必要时分步执行以规避资源瓶颈；其三，工具输出的 score 与匹配片段是判断误报的关键依据，人工复核环节不可省略。</w:t>
      </w:r>
    </w:p>
    <w:p w14:paraId="7FEEBDB6">
      <w:pP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7A866617"/>
    <w:p w14:paraId="7FEEBDB3">
      <w:pP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3E77B176"/>
    <w:p w14:paraId="7FEEBDB0">
      <w:pP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63E71815"/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</w:p>
    <w:p w14:paraId="33EC25CB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</w:p>
    <w:p w14:paraId="318C2274">
      <w:pPr>
        <w:widowControl/>
        <w:ind w:firstLine="482" w:firstLineChars="20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6812789B">
      <w:pPr>
        <w:widowControl/>
        <w:spacing w:line="300" w:lineRule="auto"/>
        <w:jc w:val="left"/>
        <w:rPr>
          <w:rFonts w:ascii="仿宋_GB2312" w:hAnsi="宋体" w:eastAsia="仿宋_GB2312"/>
          <w:sz w:val="24"/>
          <w:szCs w:val="24"/>
        </w:rPr>
      </w:pPr>
    </w:p>
    <w:p w14:paraId="27A9C28E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4DE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4BAD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504E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2184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48E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BE0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6F2C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20E1628"/>
    <w:rsid w:val="23E65FFA"/>
    <w:rsid w:val="240F4AB4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List Paragraph1"/>
    <w:basedOn w:val="1"/>
    <w:qFormat/>
    <w:uiPriority w:val="99"/>
    <w:pPr>
      <w:ind w:firstLine="420" w:firstLineChars="200"/>
    </w:p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3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3468</Words>
  <Characters>4945</Characters>
  <TotalTime>34</TotalTime>
  <ScaleCrop>false</ScaleCrop>
  <LinksUpToDate>false</LinksUpToDate>
  <CharactersWithSpaces>5288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2026-10-29T13:40:00Z</dcterms:created>
  <dc:creator>21166</dc:creator>
  <cp:lastModifiedBy>开心每一天</cp:lastModifiedBy>
  <dcterms:modified xsi:type="dcterms:W3CDTF">2026-10-29T06:24:42Z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eyJoZGlkIjoiYzM5ZWFiY2RiN2E4OGY3NTE4MmZiMTdmNjE1YjE2MGUiLCJ1c2VySWQiOiI0ODY5NjA0MTIifQ==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0AB096312EF04B3A9EEA9AFAC21C81D9_12</vt:lpwstr>
  </property>
</Properties>
</file>