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Foundation Repair Niche Bible</w:t>
      </w:r>
    </w:p>
    <w:p>
      <w:pPr>
        <w:spacing w:after="120"/>
      </w:pPr>
      <w:r>
        <w:rPr>
          <w:i/>
        </w:rPr>
        <w:t>Prepared October 2026</w:t>
      </w:r>
    </w:p>
    <w:p>
      <w:pPr>
        <w:pBdr>
          <w:bottom w:val="single" w:sz="6" w:space="1" w:color="C0C8D0"/>
        </w:pBdr>
        <w:spacing w:after="160"/>
      </w:pPr>
    </w:p>
    <w:p>
      <w:pPr>
        <w:pStyle w:val="Heading2"/>
      </w:pPr>
      <w:r>
        <w:t>How This Niche Was Chosen</w:t>
      </w:r>
    </w:p>
    <w:p>
      <w:pPr>
        <w:spacing w:after="120"/>
      </w:pPr>
      <w:r>
        <w:t>Three candidate niches were assessed across eight operational dimensions: ticket economics, market size, agency saturation, demand problem, B2C alignment, owner-operator dominance, outbound data availability, and SMS reachability. Facebook Ads channel fit was scored separately. All three then received a full business-model deep dive with sourced industry data before the commitment was made.</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4A6B"/>
            <w:vAlign w:val="center"/>
          </w:tcPr>
          <w:p>
            <w:r/>
            <w:r>
              <w:rPr>
                <w:b/>
                <w:color w:val="FFFFFF"/>
                <w:sz w:val="22"/>
              </w:rPr>
              <w:t>Niche assessed</w:t>
            </w:r>
          </w:p>
        </w:tc>
        <w:tc>
          <w:tcPr>
            <w:tcW w:type="dxa" w:w="3120"/>
            <w:shd w:val="clear" w:color="auto" w:fill="2E4A6B"/>
            <w:vAlign w:val="center"/>
          </w:tcPr>
          <w:p>
            <w:r/>
            <w:r>
              <w:rPr>
                <w:b/>
                <w:color w:val="FFFFFF"/>
                <w:sz w:val="22"/>
              </w:rPr>
              <w:t>Fit Summary</w:t>
            </w:r>
          </w:p>
        </w:tc>
        <w:tc>
          <w:tcPr>
            <w:tcW w:type="dxa" w:w="3120"/>
            <w:shd w:val="clear" w:color="auto" w:fill="2E4A6B"/>
            <w:vAlign w:val="center"/>
          </w:tcPr>
          <w:p>
            <w:r/>
            <w:r>
              <w:rPr>
                <w:b/>
                <w:color w:val="FFFFFF"/>
                <w:sz w:val="22"/>
              </w:rPr>
              <w:t>Fit Score</w:t>
            </w:r>
          </w:p>
        </w:tc>
      </w:tr>
      <w:tr>
        <w:tc>
          <w:tcPr>
            <w:tcW w:type="dxa" w:w="3120"/>
            <w:vAlign w:val="top"/>
          </w:tcPr>
          <w:p>
            <w:r>
              <w:rPr>
                <w:sz w:val="21"/>
              </w:rPr>
            </w:r>
            <w:r>
              <w:rPr>
                <w:sz w:val="21"/>
              </w:rPr>
              <w:t>Foundation Repair</w:t>
            </w:r>
          </w:p>
        </w:tc>
        <w:tc>
          <w:tcPr>
            <w:tcW w:type="dxa" w:w="3120"/>
            <w:vAlign w:val="top"/>
          </w:tcPr>
          <w:p>
            <w:r>
              <w:rPr>
                <w:sz w:val="21"/>
              </w:rPr>
            </w:r>
            <w:r>
              <w:rPr>
                <w:sz w:val="21"/>
              </w:rPr>
              <w:t>Strong Fit</w:t>
            </w:r>
          </w:p>
        </w:tc>
        <w:tc>
          <w:tcPr>
            <w:tcW w:type="dxa" w:w="3120"/>
            <w:vAlign w:val="top"/>
          </w:tcPr>
          <w:p>
            <w:r>
              <w:rPr>
                <w:sz w:val="21"/>
              </w:rPr>
            </w:r>
            <w:r>
              <w:rPr>
                <w:sz w:val="21"/>
              </w:rPr>
              <w:t>8 / 10</w:t>
            </w:r>
          </w:p>
        </w:tc>
      </w:tr>
      <w:tr>
        <w:tc>
          <w:tcPr>
            <w:tcW w:type="dxa" w:w="3120"/>
            <w:vAlign w:val="top"/>
          </w:tcPr>
          <w:p>
            <w:r>
              <w:rPr>
                <w:sz w:val="21"/>
              </w:rPr>
            </w:r>
            <w:r>
              <w:rPr>
                <w:sz w:val="21"/>
              </w:rPr>
              <w:t>Plumbing: Slab Leak and Repipe</w:t>
            </w:r>
          </w:p>
        </w:tc>
        <w:tc>
          <w:tcPr>
            <w:tcW w:type="dxa" w:w="3120"/>
            <w:vAlign w:val="top"/>
          </w:tcPr>
          <w:p>
            <w:r>
              <w:rPr>
                <w:sz w:val="21"/>
              </w:rPr>
            </w:r>
            <w:r>
              <w:rPr>
                <w:sz w:val="21"/>
              </w:rPr>
              <w:t>Workable Fit</w:t>
            </w:r>
          </w:p>
        </w:tc>
        <w:tc>
          <w:tcPr>
            <w:tcW w:type="dxa" w:w="3120"/>
            <w:vAlign w:val="top"/>
          </w:tcPr>
          <w:p>
            <w:r>
              <w:rPr>
                <w:sz w:val="21"/>
              </w:rPr>
            </w:r>
            <w:r>
              <w:rPr>
                <w:sz w:val="21"/>
              </w:rPr>
              <w:t>7 / 10</w:t>
            </w:r>
          </w:p>
        </w:tc>
      </w:tr>
      <w:tr>
        <w:tc>
          <w:tcPr>
            <w:tcW w:type="dxa" w:w="3120"/>
            <w:vAlign w:val="top"/>
          </w:tcPr>
          <w:p>
            <w:r>
              <w:rPr>
                <w:sz w:val="21"/>
              </w:rPr>
            </w:r>
            <w:r>
              <w:rPr>
                <w:sz w:val="21"/>
              </w:rPr>
              <w:t>Water Damage Restoration</w:t>
            </w:r>
          </w:p>
        </w:tc>
        <w:tc>
          <w:tcPr>
            <w:tcW w:type="dxa" w:w="3120"/>
            <w:vAlign w:val="top"/>
          </w:tcPr>
          <w:p>
            <w:r>
              <w:rPr>
                <w:sz w:val="21"/>
              </w:rPr>
            </w:r>
            <w:r>
              <w:rPr>
                <w:sz w:val="21"/>
              </w:rPr>
              <w:t>Workable Fit</w:t>
            </w:r>
          </w:p>
        </w:tc>
        <w:tc>
          <w:tcPr>
            <w:tcW w:type="dxa" w:w="3120"/>
            <w:vAlign w:val="top"/>
          </w:tcPr>
          <w:p>
            <w:r>
              <w:rPr>
                <w:sz w:val="21"/>
              </w:rPr>
            </w:r>
            <w:r>
              <w:rPr>
                <w:sz w:val="21"/>
              </w:rPr>
              <w:t>6 / 10</w:t>
            </w:r>
          </w:p>
        </w:tc>
      </w:tr>
    </w:tbl>
    <w:p>
      <w:pPr>
        <w:spacing w:after="120"/>
      </w:pPr>
      <w:r>
        <w:rPr>
          <w:b/>
        </w:rPr>
        <w:t>Why Foundation Repair:</w:t>
      </w:r>
      <w:r>
        <w:t xml:space="preserve"> It carries the highest ticket of the three (about $5,200 average per consumer cost guides, with pier jobs at $6K to $40K), a cash-pay homeowner buyer, and a visible symptom set (cracked brick, sticking doors, sloping floors) that translates directly into Facebook creative. The Ad Library check confirmed the channel is alive, with four active advertisers including small independents and one ad set running since 2023.</w:t>
      </w:r>
    </w:p>
    <w:p>
      <w:pPr>
        <w:pBdr>
          <w:bottom w:val="single" w:sz="6" w:space="1" w:color="C0C8D0"/>
        </w:pBdr>
        <w:spacing w:after="160"/>
      </w:pPr>
    </w:p>
    <w:p>
      <w:pPr>
        <w:pStyle w:val="Heading2"/>
      </w:pPr>
      <w:r>
        <w:t>Section 1: Business Model Deep Dive</w:t>
      </w:r>
    </w:p>
    <w:p>
      <w:pPr>
        <w:spacing w:after="120"/>
      </w:pPr>
      <w:r>
        <w:t>Scope: residential piering, underpinning, slab and pier-and-beam leveling, crack repair, with basement waterproofing only where it overlaps. Figures marked (est.) are estimates. Where no primary source was reachable, the figure is labeled as a vendor, broker, or aggregator number. Several vendor pages (for example ClicksGeek and Valley Marketing Group) could not be opened directly, so their figures are quoted from search excerpts only.</w:t>
      </w:r>
    </w:p>
    <w:p>
      <w:pPr>
        <w:pStyle w:val="Heading3"/>
      </w:pPr>
      <w:r>
        <w:t>1. Industry Snapshot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4A6B"/>
            <w:vAlign w:val="center"/>
          </w:tcPr>
          <w:p>
            <w:r/>
            <w:r>
              <w:rPr>
                <w:b/>
                <w:color w:val="FFFFFF"/>
                <w:sz w:val="22"/>
              </w:rPr>
              <w:t>Metric</w:t>
            </w:r>
          </w:p>
        </w:tc>
        <w:tc>
          <w:tcPr>
            <w:tcW w:type="dxa" w:w="3120"/>
            <w:shd w:val="clear" w:color="auto" w:fill="2E4A6B"/>
            <w:vAlign w:val="center"/>
          </w:tcPr>
          <w:p>
            <w:r/>
            <w:r>
              <w:rPr>
                <w:b/>
                <w:color w:val="FFFFFF"/>
                <w:sz w:val="22"/>
              </w:rPr>
              <w:t>Finding</w:t>
            </w:r>
          </w:p>
        </w:tc>
        <w:tc>
          <w:tcPr>
            <w:tcW w:type="dxa" w:w="3120"/>
            <w:shd w:val="clear" w:color="auto" w:fill="2E4A6B"/>
            <w:vAlign w:val="center"/>
          </w:tcPr>
          <w:p>
            <w:r/>
            <w:r>
              <w:rPr>
                <w:b/>
                <w:color w:val="FFFFFF"/>
                <w:sz w:val="22"/>
              </w:rPr>
              <w:t>Confidence</w:t>
            </w:r>
          </w:p>
        </w:tc>
      </w:tr>
      <w:tr>
        <w:tc>
          <w:tcPr>
            <w:tcW w:type="dxa" w:w="3120"/>
            <w:vAlign w:val="top"/>
          </w:tcPr>
          <w:p>
            <w:r>
              <w:rPr>
                <w:sz w:val="21"/>
              </w:rPr>
            </w:r>
            <w:r>
              <w:rPr>
                <w:sz w:val="21"/>
              </w:rPr>
              <w:t>US market size</w:t>
            </w:r>
          </w:p>
        </w:tc>
        <w:tc>
          <w:tcPr>
            <w:tcW w:type="dxa" w:w="3120"/>
            <w:vAlign w:val="top"/>
          </w:tcPr>
          <w:p>
            <w:r>
              <w:rPr>
                <w:sz w:val="21"/>
              </w:rPr>
            </w:r>
            <w:r>
              <w:rPr>
                <w:sz w:val="21"/>
              </w:rPr>
              <w:t>Estimates conflict. About $5.2B (2020-2023 revenue, 6.1% CAGR) and $8.5B (2023) appear on aggregator pages and Gitnux. A US plus Canada figure of $11.8B (2025) uses a broader definition. Stout cites $10.6B.</w:t>
            </w:r>
          </w:p>
        </w:tc>
        <w:tc>
          <w:tcPr>
            <w:tcW w:type="dxa" w:w="3120"/>
            <w:vAlign w:val="top"/>
          </w:tcPr>
          <w:p>
            <w:r>
              <w:rPr>
                <w:sz w:val="21"/>
              </w:rPr>
            </w:r>
            <w:r>
              <w:rPr>
                <w:sz w:val="21"/>
              </w:rPr>
              <w:t>Low to moderate. Working range: $5B to $11B (est.).</w:t>
            </w:r>
          </w:p>
        </w:tc>
      </w:tr>
      <w:tr>
        <w:tc>
          <w:tcPr>
            <w:tcW w:type="dxa" w:w="3120"/>
            <w:vAlign w:val="top"/>
          </w:tcPr>
          <w:p>
            <w:r>
              <w:rPr>
                <w:sz w:val="21"/>
              </w:rPr>
            </w:r>
            <w:r>
              <w:rPr>
                <w:sz w:val="21"/>
              </w:rPr>
              <w:t>US businesses</w:t>
            </w:r>
          </w:p>
        </w:tc>
        <w:tc>
          <w:tcPr>
            <w:tcW w:type="dxa" w:w="3120"/>
            <w:vAlign w:val="top"/>
          </w:tcPr>
          <w:p>
            <w:r>
              <w:rPr>
                <w:sz w:val="21"/>
              </w:rPr>
            </w:r>
            <w:r>
              <w:rPr>
                <w:sz w:val="21"/>
              </w:rPr>
              <w:t>About 10,000 to 15,200 firms, with the 15,200 figure (2023, +3.2% YoY) from WiFi Talents.</w:t>
            </w:r>
          </w:p>
        </w:tc>
        <w:tc>
          <w:tcPr>
            <w:tcW w:type="dxa" w:w="3120"/>
            <w:vAlign w:val="top"/>
          </w:tcPr>
          <w:p>
            <w:r>
              <w:rPr>
                <w:sz w:val="21"/>
              </w:rPr>
            </w:r>
            <w:r>
              <w:rPr>
                <w:sz w:val="21"/>
              </w:rPr>
              <w:t>Low. Definitions vary. Census NAICS 238190 would be the authoritative cross-check.</w:t>
            </w:r>
          </w:p>
        </w:tc>
      </w:tr>
      <w:tr>
        <w:tc>
          <w:tcPr>
            <w:tcW w:type="dxa" w:w="3120"/>
            <w:vAlign w:val="top"/>
          </w:tcPr>
          <w:p>
            <w:r>
              <w:rPr>
                <w:sz w:val="21"/>
              </w:rPr>
            </w:r>
            <w:r>
              <w:rPr>
                <w:sz w:val="21"/>
              </w:rPr>
              <w:t>YoY growth</w:t>
            </w:r>
          </w:p>
        </w:tc>
        <w:tc>
          <w:tcPr>
            <w:tcW w:type="dxa" w:w="3120"/>
            <w:vAlign w:val="top"/>
          </w:tcPr>
          <w:p>
            <w:r>
              <w:rPr>
                <w:sz w:val="21"/>
              </w:rPr>
            </w:r>
            <w:r>
              <w:rPr>
                <w:sz w:val="21"/>
              </w:rPr>
              <w:t>Roughly 3% to 6% annually. Technavio projects a 3% global CAGR for 2024-2029. The aggregators cite 6.1% for 2020-2023.</w:t>
            </w:r>
          </w:p>
        </w:tc>
        <w:tc>
          <w:tcPr>
            <w:tcW w:type="dxa" w:w="3120"/>
            <w:vAlign w:val="top"/>
          </w:tcPr>
          <w:p>
            <w:r>
              <w:rPr>
                <w:sz w:val="21"/>
              </w:rPr>
            </w:r>
            <w:r>
              <w:rPr>
                <w:sz w:val="21"/>
              </w:rPr>
              <w:t>Moderate</w:t>
            </w:r>
          </w:p>
        </w:tc>
      </w:tr>
      <w:tr>
        <w:tc>
          <w:tcPr>
            <w:tcW w:type="dxa" w:w="3120"/>
            <w:vAlign w:val="top"/>
          </w:tcPr>
          <w:p>
            <w:r>
              <w:rPr>
                <w:sz w:val="21"/>
              </w:rPr>
            </w:r>
            <w:r>
              <w:rPr>
                <w:sz w:val="21"/>
              </w:rPr>
              <w:t>Structure</w:t>
            </w:r>
          </w:p>
        </w:tc>
        <w:tc>
          <w:tcPr>
            <w:tcW w:type="dxa" w:w="3120"/>
            <w:vAlign w:val="top"/>
          </w:tcPr>
          <w:p>
            <w:r>
              <w:rPr>
                <w:sz w:val="21"/>
              </w:rPr>
            </w:r>
            <w:r>
              <w:rPr>
                <w:sz w:val="21"/>
              </w:rPr>
              <w:t>Highly fragmented, with regional leaders. Consolidation is accelerating (Section 5).</w:t>
            </w:r>
          </w:p>
        </w:tc>
        <w:tc>
          <w:tcPr>
            <w:tcW w:type="dxa" w:w="3120"/>
            <w:vAlign w:val="top"/>
          </w:tcPr>
          <w:p>
            <w:r>
              <w:rPr>
                <w:sz w:val="21"/>
              </w:rPr>
            </w:r>
            <w:r>
              <w:rPr>
                <w:sz w:val="21"/>
              </w:rPr>
              <w:t>Moderate</w:t>
            </w:r>
          </w:p>
        </w:tc>
      </w:tr>
    </w:tbl>
    <w:p>
      <w:pPr>
        <w:spacing w:after="120"/>
      </w:pPr>
      <w:r>
        <w:t>Top national and PE-backed or franchised brands (ranked by apparent scale, not audited revenue):</w:t>
      </w:r>
    </w:p>
    <w:p>
      <w:pPr>
        <w:pStyle w:val="ListNumber"/>
        <w:spacing w:after="40"/>
      </w:pPr>
      <w:r>
        <w:rPr>
          <w:b/>
        </w:rPr>
        <w:t>Groundworks</w:t>
      </w:r>
      <w:r>
        <w:t xml:space="preserve"> (KKR-backed). Company materials describe it as North America's largest foundation and water management company. Its revenue ranges from $500M (company, 2020) to higher third-party aggregator estimates, so the scale is unverified. KKR's growth investment was announced in 2023, with Cortec remaining a shareholder.</w:t>
      </w:r>
    </w:p>
    <w:p>
      <w:pPr>
        <w:pStyle w:val="ListNumber"/>
        <w:spacing w:after="40"/>
      </w:pPr>
      <w:r>
        <w:rPr>
          <w:b/>
        </w:rPr>
        <w:t>Vanterra Foundation Solutions</w:t>
      </w:r>
      <w:r>
        <w:t xml:space="preserve"> (Percheron Capital). It acquired '58 Foundations &amp; Waterproofing in January 2025.</w:t>
      </w:r>
    </w:p>
    <w:p>
      <w:pPr>
        <w:pStyle w:val="ListNumber"/>
        <w:spacing w:after="40"/>
      </w:pPr>
      <w:r>
        <w:rPr>
          <w:b/>
        </w:rPr>
        <w:t>Solid Ground Solutions</w:t>
      </w:r>
      <w:r>
        <w:t xml:space="preserve"> (CenterOak Partners), platform formed January 2025.</w:t>
      </w:r>
    </w:p>
    <w:p>
      <w:pPr>
        <w:pStyle w:val="ListNumber"/>
        <w:spacing w:after="40"/>
      </w:pPr>
      <w:r>
        <w:rPr>
          <w:b/>
        </w:rPr>
        <w:t>AnchorPoint Foundations</w:t>
      </w:r>
      <w:r>
        <w:t xml:space="preserve"> (Oridian Capital), launched June 2026.</w:t>
      </w:r>
    </w:p>
    <w:p>
      <w:pPr>
        <w:pStyle w:val="ListNumber"/>
        <w:spacing w:after="40"/>
      </w:pPr>
      <w:r>
        <w:rPr>
          <w:b/>
        </w:rPr>
        <w:t>Ram Jack</w:t>
      </w:r>
      <w:r>
        <w:t>, a franchise and dealer network. A franchise profile cites 50+ dealers across the US, Canada, and Central America. Supportworks is a comparable manufacturer-plus-independent dealer network, and its dealers are independent, not corporate.</w:t>
      </w:r>
    </w:p>
    <w:p>
      <w:pPr>
        <w:pStyle w:val="Heading3"/>
      </w:pPr>
      <w:r>
        <w:t>2. Service Tiers and AOV</w:t>
      </w:r>
    </w:p>
    <w:p>
      <w:pPr>
        <w:spacing w:after="120"/>
      </w:pPr>
      <w:r>
        <w:t>Pricing sources are consumer cost guides, which are directional. Per-pier cost is $1,000 to $3,000. Other guides run to $3,500 and higher, up to $6,000 per pier in complex conditions.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4A6B"/>
            <w:vAlign w:val="center"/>
          </w:tcPr>
          <w:p>
            <w:r/>
            <w:r>
              <w:rPr>
                <w:b/>
                <w:color w:val="FFFFFF"/>
                <w:sz w:val="22"/>
              </w:rPr>
              <w:t>Tier</w:t>
            </w:r>
          </w:p>
        </w:tc>
        <w:tc>
          <w:tcPr>
            <w:tcW w:type="dxa" w:w="3120"/>
            <w:shd w:val="clear" w:color="auto" w:fill="2E4A6B"/>
            <w:vAlign w:val="center"/>
          </w:tcPr>
          <w:p>
            <w:r/>
            <w:r>
              <w:rPr>
                <w:b/>
                <w:color w:val="FFFFFF"/>
                <w:sz w:val="22"/>
              </w:rPr>
              <w:t>Typical price</w:t>
            </w:r>
          </w:p>
        </w:tc>
        <w:tc>
          <w:tcPr>
            <w:tcW w:type="dxa" w:w="3120"/>
            <w:shd w:val="clear" w:color="auto" w:fill="2E4A6B"/>
            <w:vAlign w:val="center"/>
          </w:tcPr>
          <w:p>
            <w:r/>
            <w:r>
              <w:rPr>
                <w:b/>
                <w:color w:val="FFFFFF"/>
                <w:sz w:val="22"/>
              </w:rPr>
              <w:t>Notes</w:t>
            </w:r>
          </w:p>
        </w:tc>
      </w:tr>
      <w:tr>
        <w:tc>
          <w:tcPr>
            <w:tcW w:type="dxa" w:w="3120"/>
            <w:vAlign w:val="top"/>
          </w:tcPr>
          <w:p>
            <w:r>
              <w:rPr>
                <w:sz w:val="21"/>
              </w:rPr>
            </w:r>
            <w:r>
              <w:rPr>
                <w:sz w:val="21"/>
              </w:rPr>
              <w:t>Crack repair, minor stabilization</w:t>
            </w:r>
          </w:p>
        </w:tc>
        <w:tc>
          <w:tcPr>
            <w:tcW w:type="dxa" w:w="3120"/>
            <w:vAlign w:val="top"/>
          </w:tcPr>
          <w:p>
            <w:r>
              <w:rPr>
                <w:sz w:val="21"/>
              </w:rPr>
            </w:r>
            <w:r>
              <w:rPr>
                <w:sz w:val="21"/>
              </w:rPr>
              <w:t>~$500 to $5,000</w:t>
            </w:r>
          </w:p>
        </w:tc>
        <w:tc>
          <w:tcPr>
            <w:tcW w:type="dxa" w:w="3120"/>
            <w:vAlign w:val="top"/>
          </w:tcPr>
          <w:p>
            <w:r>
              <w:rPr>
                <w:sz w:val="21"/>
              </w:rPr>
            </w:r>
            <w:r>
              <w:rPr>
                <w:sz w:val="21"/>
              </w:rPr>
              <w:t>Reported $5,166 average repair, range $2,220 to $8,113.</w:t>
            </w:r>
          </w:p>
        </w:tc>
      </w:tr>
      <w:tr>
        <w:tc>
          <w:tcPr>
            <w:tcW w:type="dxa" w:w="3120"/>
            <w:vAlign w:val="top"/>
          </w:tcPr>
          <w:p>
            <w:r>
              <w:rPr>
                <w:sz w:val="21"/>
              </w:rPr>
            </w:r>
            <w:r>
              <w:rPr>
                <w:sz w:val="21"/>
              </w:rPr>
              <w:t>Polyurethane or slab leveling per location</w:t>
            </w:r>
          </w:p>
        </w:tc>
        <w:tc>
          <w:tcPr>
            <w:tcW w:type="dxa" w:w="3120"/>
            <w:vAlign w:val="top"/>
          </w:tcPr>
          <w:p>
            <w:r>
              <w:rPr>
                <w:sz w:val="21"/>
              </w:rPr>
            </w:r>
            <w:r>
              <w:rPr>
                <w:sz w:val="21"/>
              </w:rPr>
              <w:t>$500 to $1,500</w:t>
            </w:r>
          </w:p>
        </w:tc>
        <w:tc>
          <w:tcPr>
            <w:tcW w:type="dxa" w:w="3120"/>
            <w:vAlign w:val="top"/>
          </w:tcPr>
          <w:p>
            <w:r>
              <w:rPr>
                <w:sz w:val="21"/>
              </w:rPr>
            </w:r>
            <w:r>
              <w:rPr>
                <w:sz w:val="21"/>
              </w:rPr>
              <w:t>Per CT Acquisitions. Faster, thinner margin.</w:t>
            </w:r>
          </w:p>
        </w:tc>
      </w:tr>
      <w:tr>
        <w:tc>
          <w:tcPr>
            <w:tcW w:type="dxa" w:w="3120"/>
            <w:vAlign w:val="top"/>
          </w:tcPr>
          <w:p>
            <w:r>
              <w:rPr>
                <w:sz w:val="21"/>
              </w:rPr>
            </w:r>
            <w:r>
              <w:rPr>
                <w:sz w:val="21"/>
              </w:rPr>
              <w:t>Push or helical pier job (4 to 6 piers)</w:t>
            </w:r>
          </w:p>
        </w:tc>
        <w:tc>
          <w:tcPr>
            <w:tcW w:type="dxa" w:w="3120"/>
            <w:vAlign w:val="top"/>
          </w:tcPr>
          <w:p>
            <w:r>
              <w:rPr>
                <w:sz w:val="21"/>
              </w:rPr>
            </w:r>
            <w:r>
              <w:rPr>
                <w:sz w:val="21"/>
              </w:rPr>
              <w:t>$6,000 to $16,000</w:t>
            </w:r>
          </w:p>
        </w:tc>
        <w:tc>
          <w:tcPr>
            <w:tcW w:type="dxa" w:w="3120"/>
            <w:vAlign w:val="top"/>
          </w:tcPr>
          <w:p>
            <w:r>
              <w:rPr>
                <w:sz w:val="21"/>
              </w:rPr>
            </w:r>
            <w:r>
              <w:rPr>
                <w:sz w:val="21"/>
              </w:rPr>
              <w:t>Consumer guide range (est.).</w:t>
            </w:r>
          </w:p>
        </w:tc>
      </w:tr>
      <w:tr>
        <w:tc>
          <w:tcPr>
            <w:tcW w:type="dxa" w:w="3120"/>
            <w:vAlign w:val="top"/>
          </w:tcPr>
          <w:p>
            <w:r>
              <w:rPr>
                <w:sz w:val="21"/>
              </w:rPr>
            </w:r>
            <w:r>
              <w:rPr>
                <w:sz w:val="21"/>
              </w:rPr>
              <w:t>Larger pier job (8 to 12 piers)</w:t>
            </w:r>
          </w:p>
        </w:tc>
        <w:tc>
          <w:tcPr>
            <w:tcW w:type="dxa" w:w="3120"/>
            <w:vAlign w:val="top"/>
          </w:tcPr>
          <w:p>
            <w:r>
              <w:rPr>
                <w:sz w:val="21"/>
              </w:rPr>
            </w:r>
            <w:r>
              <w:rPr>
                <w:sz w:val="21"/>
              </w:rPr>
              <w:t>$15,000 to $40,000</w:t>
            </w:r>
          </w:p>
        </w:tc>
        <w:tc>
          <w:tcPr>
            <w:tcW w:type="dxa" w:w="3120"/>
            <w:vAlign w:val="top"/>
          </w:tcPr>
          <w:p>
            <w:r>
              <w:rPr>
                <w:sz w:val="21"/>
              </w:rPr>
            </w:r>
            <w:r>
              <w:rPr>
                <w:sz w:val="21"/>
              </w:rPr>
              <w:t>Consumer guide range (est.).</w:t>
            </w:r>
          </w:p>
        </w:tc>
      </w:tr>
      <w:tr>
        <w:tc>
          <w:tcPr>
            <w:tcW w:type="dxa" w:w="3120"/>
            <w:vAlign w:val="top"/>
          </w:tcPr>
          <w:p>
            <w:r>
              <w:rPr>
                <w:sz w:val="21"/>
              </w:rPr>
            </w:r>
            <w:r>
              <w:rPr>
                <w:sz w:val="21"/>
              </w:rPr>
              <w:t>Full engagement (piers plus drainage, moisture control, structural carpentry)</w:t>
            </w:r>
          </w:p>
        </w:tc>
        <w:tc>
          <w:tcPr>
            <w:tcW w:type="dxa" w:w="3120"/>
            <w:vAlign w:val="top"/>
          </w:tcPr>
          <w:p>
            <w:r>
              <w:rPr>
                <w:sz w:val="21"/>
              </w:rPr>
            </w:r>
            <w:r>
              <w:rPr>
                <w:sz w:val="21"/>
              </w:rPr>
              <w:t>$10,000 to $30,000+</w:t>
            </w:r>
          </w:p>
        </w:tc>
        <w:tc>
          <w:tcPr>
            <w:tcW w:type="dxa" w:w="3120"/>
            <w:vAlign w:val="top"/>
          </w:tcPr>
          <w:p>
            <w:r>
              <w:rPr>
                <w:sz w:val="21"/>
              </w:rPr>
            </w:r>
            <w:r>
              <w:rPr>
                <w:sz w:val="21"/>
              </w:rPr>
              <w:t>Pier-and-beam jobs can reach this range.</w:t>
            </w:r>
          </w:p>
        </w:tc>
      </w:tr>
    </w:tbl>
    <w:p>
      <w:pPr>
        <w:spacing w:after="120"/>
      </w:pPr>
      <w:r>
        <w:t>Weighted average ticket (est.): about $7,000 to $10,000 for an independent operator. This is a blend of roughly 40% small jobs ($1,500 to $4,000), 40% mid jobs ($8,000 to $14,000), and 20% large jobs ($18,000+). It is an analyst estimate, not a sourced figure. Consumer cost guides put the average single repair closer to $5,200, which is a conservative floor for planning.</w:t>
      </w:r>
    </w:p>
    <w:p>
      <w:pPr>
        <w:spacing w:after="120"/>
      </w:pPr>
      <w:r>
        <w:t>Retainer math: at roughly $3K upfront plus $997/month, one incremental booked job at the estimated average ticket covers the monthly fee about 7 to 10 times over on revenue. The niche sits well above the roughly $1K AOV planning floor. Even a small crack or leveling job can cover the monthly fee.</w:t>
      </w:r>
    </w:p>
    <w:p>
      <w:pPr>
        <w:pStyle w:val="Heading3"/>
      </w:pPr>
      <w:r>
        <w:t>3. Solo Operator Economics (est.)</w:t>
      </w:r>
    </w:p>
    <w:p>
      <w:pPr>
        <w:spacing w:after="120"/>
      </w:pPr>
      <w:r>
        <w:t>No audited benchmark exists. The inputs below come from broker and buyer-guide material, so this is a modeled range.</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4A6B"/>
            <w:vAlign w:val="center"/>
          </w:tcPr>
          <w:p>
            <w:r/>
            <w:r>
              <w:rPr>
                <w:b/>
                <w:color w:val="FFFFFF"/>
                <w:sz w:val="22"/>
              </w:rPr>
              <w:t>Metric</w:t>
            </w:r>
          </w:p>
        </w:tc>
        <w:tc>
          <w:tcPr>
            <w:tcW w:type="dxa" w:w="3120"/>
            <w:shd w:val="clear" w:color="auto" w:fill="2E4A6B"/>
            <w:vAlign w:val="center"/>
          </w:tcPr>
          <w:p>
            <w:r/>
            <w:r>
              <w:rPr>
                <w:b/>
                <w:color w:val="FFFFFF"/>
                <w:sz w:val="22"/>
              </w:rPr>
              <w:t>Estimated range for a 1 to 4 person crew</w:t>
            </w:r>
          </w:p>
        </w:tc>
        <w:tc>
          <w:tcPr>
            <w:tcW w:type="dxa" w:w="3120"/>
            <w:shd w:val="clear" w:color="auto" w:fill="2E4A6B"/>
            <w:vAlign w:val="center"/>
          </w:tcPr>
          <w:p>
            <w:r/>
            <w:r>
              <w:rPr>
                <w:b/>
                <w:color w:val="FFFFFF"/>
                <w:sz w:val="22"/>
              </w:rPr>
              <w:t>Basis</w:t>
            </w:r>
          </w:p>
        </w:tc>
      </w:tr>
      <w:tr>
        <w:tc>
          <w:tcPr>
            <w:tcW w:type="dxa" w:w="3120"/>
            <w:vAlign w:val="top"/>
          </w:tcPr>
          <w:p>
            <w:r>
              <w:rPr>
                <w:sz w:val="21"/>
              </w:rPr>
            </w:r>
            <w:r>
              <w:rPr>
                <w:sz w:val="21"/>
              </w:rPr>
              <w:t>Monthly booked jobs</w:t>
            </w:r>
          </w:p>
        </w:tc>
        <w:tc>
          <w:tcPr>
            <w:tcW w:type="dxa" w:w="3120"/>
            <w:vAlign w:val="top"/>
          </w:tcPr>
          <w:p>
            <w:r>
              <w:rPr>
                <w:sz w:val="21"/>
              </w:rPr>
            </w:r>
            <w:r>
              <w:rPr>
                <w:sz w:val="21"/>
              </w:rPr>
              <w:t>6 to 15</w:t>
            </w:r>
          </w:p>
        </w:tc>
        <w:tc>
          <w:tcPr>
            <w:tcW w:type="dxa" w:w="3120"/>
            <w:vAlign w:val="top"/>
          </w:tcPr>
          <w:p>
            <w:r>
              <w:rPr>
                <w:sz w:val="21"/>
              </w:rPr>
            </w:r>
            <w:r>
              <w:rPr>
                <w:sz w:val="21"/>
              </w:rPr>
              <w:t>Estimate. Pier jobs take 1 to 3 days.</w:t>
            </w:r>
          </w:p>
        </w:tc>
      </w:tr>
      <w:tr>
        <w:tc>
          <w:tcPr>
            <w:tcW w:type="dxa" w:w="3120"/>
            <w:vAlign w:val="top"/>
          </w:tcPr>
          <w:p>
            <w:r>
              <w:rPr>
                <w:sz w:val="21"/>
              </w:rPr>
            </w:r>
            <w:r>
              <w:rPr>
                <w:sz w:val="21"/>
              </w:rPr>
              <w:t>Gross revenue</w:t>
            </w:r>
          </w:p>
        </w:tc>
        <w:tc>
          <w:tcPr>
            <w:tcW w:type="dxa" w:w="3120"/>
            <w:vAlign w:val="top"/>
          </w:tcPr>
          <w:p>
            <w:r>
              <w:rPr>
                <w:sz w:val="21"/>
              </w:rPr>
            </w:r>
            <w:r>
              <w:rPr>
                <w:sz w:val="21"/>
              </w:rPr>
              <w:t>$50K to $140K/month</w:t>
            </w:r>
          </w:p>
        </w:tc>
        <w:tc>
          <w:tcPr>
            <w:tcW w:type="dxa" w:w="3120"/>
            <w:vAlign w:val="top"/>
          </w:tcPr>
          <w:p>
            <w:r>
              <w:rPr>
                <w:sz w:val="21"/>
              </w:rPr>
            </w:r>
            <w:r>
              <w:rPr>
                <w:sz w:val="21"/>
              </w:rPr>
              <w:t>Jobs times the weighted ticket.</w:t>
            </w:r>
          </w:p>
        </w:tc>
      </w:tr>
      <w:tr>
        <w:tc>
          <w:tcPr>
            <w:tcW w:type="dxa" w:w="3120"/>
            <w:vAlign w:val="top"/>
          </w:tcPr>
          <w:p>
            <w:r>
              <w:rPr>
                <w:sz w:val="21"/>
              </w:rPr>
            </w:r>
            <w:r>
              <w:rPr>
                <w:sz w:val="21"/>
              </w:rPr>
              <w:t>Gross margin</w:t>
            </w:r>
          </w:p>
        </w:tc>
        <w:tc>
          <w:tcPr>
            <w:tcW w:type="dxa" w:w="3120"/>
            <w:vAlign w:val="top"/>
          </w:tcPr>
          <w:p>
            <w:r>
              <w:rPr>
                <w:sz w:val="21"/>
              </w:rPr>
            </w:r>
            <w:r>
              <w:rPr>
                <w:sz w:val="21"/>
              </w:rPr>
              <w:t>40% to 60%</w:t>
            </w:r>
          </w:p>
        </w:tc>
        <w:tc>
          <w:tcPr>
            <w:tcW w:type="dxa" w:w="3120"/>
            <w:vAlign w:val="top"/>
          </w:tcPr>
          <w:p>
            <w:r>
              <w:rPr>
                <w:sz w:val="21"/>
              </w:rPr>
            </w:r>
            <w:r>
              <w:rPr>
                <w:sz w:val="21"/>
              </w:rPr>
              <w:t>Helical 45% to 60%, push 40% to 55%. Brokers cite higher figures for subcontracted models.</w:t>
            </w:r>
          </w:p>
        </w:tc>
      </w:tr>
      <w:tr>
        <w:tc>
          <w:tcPr>
            <w:tcW w:type="dxa" w:w="3120"/>
            <w:vAlign w:val="top"/>
          </w:tcPr>
          <w:p>
            <w:r>
              <w:rPr>
                <w:sz w:val="21"/>
              </w:rPr>
            </w:r>
            <w:r>
              <w:rPr>
                <w:sz w:val="21"/>
              </w:rPr>
              <w:t>Net margin</w:t>
            </w:r>
          </w:p>
        </w:tc>
        <w:tc>
          <w:tcPr>
            <w:tcW w:type="dxa" w:w="3120"/>
            <w:vAlign w:val="top"/>
          </w:tcPr>
          <w:p>
            <w:r>
              <w:rPr>
                <w:sz w:val="21"/>
              </w:rPr>
            </w:r>
            <w:r>
              <w:rPr>
                <w:sz w:val="21"/>
              </w:rPr>
              <w:t>12% to 25%</w:t>
            </w:r>
          </w:p>
        </w:tc>
        <w:tc>
          <w:tcPr>
            <w:tcW w:type="dxa" w:w="3120"/>
            <w:vAlign w:val="top"/>
          </w:tcPr>
          <w:p>
            <w:r>
              <w:rPr>
                <w:sz w:val="21"/>
              </w:rPr>
            </w:r>
            <w:r>
              <w:rPr>
                <w:sz w:val="21"/>
              </w:rPr>
              <w:t>A model-based 15% to 25%. A Denver operator at about 23% cash flow is one data point. Warranty reserves can run 5% to 15% of revenue.</w:t>
            </w:r>
          </w:p>
        </w:tc>
      </w:tr>
      <w:tr>
        <w:tc>
          <w:tcPr>
            <w:tcW w:type="dxa" w:w="3120"/>
            <w:vAlign w:val="top"/>
          </w:tcPr>
          <w:p>
            <w:r>
              <w:rPr>
                <w:sz w:val="21"/>
              </w:rPr>
            </w:r>
            <w:r>
              <w:rPr>
                <w:sz w:val="21"/>
              </w:rPr>
              <w:t>Owner take-home</w:t>
            </w:r>
          </w:p>
        </w:tc>
        <w:tc>
          <w:tcPr>
            <w:tcW w:type="dxa" w:w="3120"/>
            <w:vAlign w:val="top"/>
          </w:tcPr>
          <w:p>
            <w:r>
              <w:rPr>
                <w:sz w:val="21"/>
              </w:rPr>
            </w:r>
            <w:r>
              <w:rPr>
                <w:sz w:val="21"/>
              </w:rPr>
              <w:t>~$90K to $250K/year (est.)</w:t>
            </w:r>
          </w:p>
        </w:tc>
        <w:tc>
          <w:tcPr>
            <w:tcW w:type="dxa" w:w="3120"/>
            <w:vAlign w:val="top"/>
          </w:tcPr>
          <w:p>
            <w:r>
              <w:rPr>
                <w:sz w:val="21"/>
              </w:rPr>
            </w:r>
            <w:r>
              <w:rPr>
                <w:sz w:val="21"/>
              </w:rPr>
              <w:t>Derived from the net margin on roughly $0.7M to $1.7M in annual revenue.</w:t>
            </w:r>
          </w:p>
        </w:tc>
      </w:tr>
    </w:tbl>
    <w:p>
      <w:pPr>
        <w:spacing w:after="120"/>
      </w:pPr>
      <w:r>
        <w:t>Planning note: sales-cycle length and engineering-report requirements make monthly volume lumpy, so cash flow tends to follow close rates more than lead counts.</w:t>
      </w:r>
    </w:p>
    <w:p>
      <w:pPr>
        <w:pStyle w:val="Heading3"/>
      </w:pPr>
      <w:r>
        <w:t>4. Lead Acquisition Channels</w:t>
      </w:r>
    </w:p>
    <w:p>
      <w:pPr>
        <w:spacing w:after="120"/>
      </w:pPr>
      <w:r>
        <w:t>Ranked by primacy for the niche (analyst ranking). CPL figures are mostly agency-sourced and directional.</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2E4A6B"/>
            <w:vAlign w:val="center"/>
          </w:tcPr>
          <w:p>
            <w:r/>
            <w:r>
              <w:rPr>
                <w:b/>
                <w:color w:val="FFFFFF"/>
                <w:sz w:val="22"/>
              </w:rPr>
              <w:t>Rank</w:t>
            </w:r>
          </w:p>
        </w:tc>
        <w:tc>
          <w:tcPr>
            <w:tcW w:type="dxa" w:w="2340"/>
            <w:shd w:val="clear" w:color="auto" w:fill="2E4A6B"/>
            <w:vAlign w:val="center"/>
          </w:tcPr>
          <w:p>
            <w:r/>
            <w:r>
              <w:rPr>
                <w:b/>
                <w:color w:val="FFFFFF"/>
                <w:sz w:val="22"/>
              </w:rPr>
              <w:t>Channel</w:t>
            </w:r>
          </w:p>
        </w:tc>
        <w:tc>
          <w:tcPr>
            <w:tcW w:type="dxa" w:w="2340"/>
            <w:shd w:val="clear" w:color="auto" w:fill="2E4A6B"/>
            <w:vAlign w:val="center"/>
          </w:tcPr>
          <w:p>
            <w:r/>
            <w:r>
              <w:rPr>
                <w:b/>
                <w:color w:val="FFFFFF"/>
                <w:sz w:val="22"/>
              </w:rPr>
              <w:t>CPL benchmark</w:t>
            </w:r>
          </w:p>
        </w:tc>
        <w:tc>
          <w:tcPr>
            <w:tcW w:type="dxa" w:w="2340"/>
            <w:shd w:val="clear" w:color="auto" w:fill="2E4A6B"/>
            <w:vAlign w:val="center"/>
          </w:tcPr>
          <w:p>
            <w:r/>
            <w:r>
              <w:rPr>
                <w:b/>
                <w:color w:val="FFFFFF"/>
                <w:sz w:val="22"/>
              </w:rPr>
              <w:t>Notes</w:t>
            </w:r>
          </w:p>
        </w:tc>
      </w:tr>
      <w:tr>
        <w:tc>
          <w:tcPr>
            <w:tcW w:type="dxa" w:w="2340"/>
            <w:vAlign w:val="top"/>
          </w:tcPr>
          <w:p>
            <w:r>
              <w:rPr>
                <w:sz w:val="21"/>
              </w:rPr>
            </w:r>
            <w:r>
              <w:rPr>
                <w:sz w:val="21"/>
              </w:rPr>
              <w:t>1</w:t>
            </w:r>
          </w:p>
        </w:tc>
        <w:tc>
          <w:tcPr>
            <w:tcW w:type="dxa" w:w="2340"/>
            <w:vAlign w:val="top"/>
          </w:tcPr>
          <w:p>
            <w:r>
              <w:rPr>
                <w:sz w:val="21"/>
              </w:rPr>
            </w:r>
            <w:r>
              <w:rPr>
                <w:sz w:val="21"/>
              </w:rPr>
              <w:t>Google search intent (LSA plus search ads)</w:t>
            </w:r>
          </w:p>
        </w:tc>
        <w:tc>
          <w:tcPr>
            <w:tcW w:type="dxa" w:w="2340"/>
            <w:vAlign w:val="top"/>
          </w:tcPr>
          <w:p>
            <w:r>
              <w:rPr>
                <w:sz w:val="21"/>
              </w:rPr>
            </w:r>
            <w:r>
              <w:rPr>
                <w:sz w:val="21"/>
              </w:rPr>
              <w:t>LSA about $60 to $75, above $75 in competitive markets (agency source). Search ads run higher than LSA per the same source.</w:t>
            </w:r>
          </w:p>
        </w:tc>
        <w:tc>
          <w:tcPr>
            <w:tcW w:type="dxa" w:w="2340"/>
            <w:vAlign w:val="top"/>
          </w:tcPr>
          <w:p>
            <w:r>
              <w:rPr>
                <w:sz w:val="21"/>
              </w:rPr>
            </w:r>
            <w:r>
              <w:rPr>
                <w:sz w:val="21"/>
              </w:rPr>
              <w:t>Captures homeowners who already know there is a problem. Most competitive and expensive.</w:t>
            </w:r>
          </w:p>
        </w:tc>
      </w:tr>
      <w:tr>
        <w:tc>
          <w:tcPr>
            <w:tcW w:type="dxa" w:w="2340"/>
            <w:vAlign w:val="top"/>
          </w:tcPr>
          <w:p>
            <w:r>
              <w:rPr>
                <w:sz w:val="21"/>
              </w:rPr>
            </w:r>
            <w:r>
              <w:rPr>
                <w:sz w:val="21"/>
              </w:rPr>
              <w:t>2</w:t>
            </w:r>
          </w:p>
        </w:tc>
        <w:tc>
          <w:tcPr>
            <w:tcW w:type="dxa" w:w="2340"/>
            <w:vAlign w:val="top"/>
          </w:tcPr>
          <w:p>
            <w:r>
              <w:rPr>
                <w:sz w:val="21"/>
              </w:rPr>
            </w:r>
            <w:r>
              <w:rPr>
                <w:sz w:val="21"/>
              </w:rPr>
              <w:t>Referrals (realtors, home inspectors, structural engineers)</w:t>
            </w:r>
          </w:p>
        </w:tc>
        <w:tc>
          <w:tcPr>
            <w:tcW w:type="dxa" w:w="2340"/>
            <w:vAlign w:val="top"/>
          </w:tcPr>
          <w:p>
            <w:r>
              <w:rPr>
                <w:sz w:val="21"/>
              </w:rPr>
            </w:r>
            <w:r>
              <w:rPr>
                <w:sz w:val="21"/>
              </w:rPr>
              <w:t>No CPL. Relationship cost.</w:t>
            </w:r>
          </w:p>
        </w:tc>
        <w:tc>
          <w:tcPr>
            <w:tcW w:type="dxa" w:w="2340"/>
            <w:vAlign w:val="top"/>
          </w:tcPr>
          <w:p>
            <w:r>
              <w:rPr>
                <w:sz w:val="21"/>
              </w:rPr>
            </w:r>
            <w:r>
              <w:rPr>
                <w:sz w:val="21"/>
              </w:rPr>
              <w:t>Inspection reports often trigger the repair. Engineers also specify scope. Low volume, high close rate (est.).</w:t>
            </w:r>
          </w:p>
        </w:tc>
      </w:tr>
      <w:tr>
        <w:tc>
          <w:tcPr>
            <w:tcW w:type="dxa" w:w="2340"/>
            <w:vAlign w:val="top"/>
          </w:tcPr>
          <w:p>
            <w:r>
              <w:rPr>
                <w:sz w:val="21"/>
              </w:rPr>
            </w:r>
            <w:r>
              <w:rPr>
                <w:sz w:val="21"/>
              </w:rPr>
              <w:t>3</w:t>
            </w:r>
          </w:p>
        </w:tc>
        <w:tc>
          <w:tcPr>
            <w:tcW w:type="dxa" w:w="2340"/>
            <w:vAlign w:val="top"/>
          </w:tcPr>
          <w:p>
            <w:r>
              <w:rPr>
                <w:sz w:val="21"/>
              </w:rPr>
            </w:r>
            <w:r>
              <w:rPr>
                <w:sz w:val="21"/>
              </w:rPr>
              <w:t>Facebook and Instagram</w:t>
            </w:r>
          </w:p>
        </w:tc>
        <w:tc>
          <w:tcPr>
            <w:tcW w:type="dxa" w:w="2340"/>
            <w:vAlign w:val="top"/>
          </w:tcPr>
          <w:p>
            <w:r>
              <w:rPr>
                <w:sz w:val="21"/>
              </w:rPr>
            </w:r>
            <w:r>
              <w:rPr>
                <w:sz w:val="21"/>
              </w:rPr>
              <w:t>Cross-industry lead ads average $27.66 in 2025, with other sources citing $28 to $50. No foundation-specific benchmark found. Expected foundation CPL is likely $40 to $120 for qualified leads (est.).</w:t>
            </w:r>
          </w:p>
        </w:tc>
        <w:tc>
          <w:tcPr>
            <w:tcW w:type="dxa" w:w="2340"/>
            <w:vAlign w:val="top"/>
          </w:tcPr>
          <w:p>
            <w:r>
              <w:rPr>
                <w:sz w:val="21"/>
              </w:rPr>
            </w:r>
            <w:r>
              <w:rPr>
                <w:sz w:val="21"/>
              </w:rPr>
              <w:t>Demand-creation channel (Section 7).</w:t>
            </w:r>
          </w:p>
        </w:tc>
      </w:tr>
      <w:tr>
        <w:tc>
          <w:tcPr>
            <w:tcW w:type="dxa" w:w="2340"/>
            <w:vAlign w:val="top"/>
          </w:tcPr>
          <w:p>
            <w:r>
              <w:rPr>
                <w:sz w:val="21"/>
              </w:rPr>
            </w:r>
            <w:r>
              <w:rPr>
                <w:sz w:val="21"/>
              </w:rPr>
              <w:t>4</w:t>
            </w:r>
          </w:p>
        </w:tc>
        <w:tc>
          <w:tcPr>
            <w:tcW w:type="dxa" w:w="2340"/>
            <w:vAlign w:val="top"/>
          </w:tcPr>
          <w:p>
            <w:r>
              <w:rPr>
                <w:sz w:val="21"/>
              </w:rPr>
            </w:r>
            <w:r>
              <w:rPr>
                <w:sz w:val="21"/>
              </w:rPr>
              <w:t>Angi, Thumbtack, HomeAdvisor-type marketplaces</w:t>
            </w:r>
          </w:p>
        </w:tc>
        <w:tc>
          <w:tcPr>
            <w:tcW w:type="dxa" w:w="2340"/>
            <w:vAlign w:val="top"/>
          </w:tcPr>
          <w:p>
            <w:r>
              <w:rPr>
                <w:sz w:val="21"/>
              </w:rPr>
            </w:r>
            <w:r>
              <w:rPr>
                <w:sz w:val="21"/>
              </w:rPr>
              <w:t>Not sourced. Shared leads are typically lower quality in high-ticket trades (est.).</w:t>
            </w:r>
          </w:p>
        </w:tc>
        <w:tc>
          <w:tcPr>
            <w:tcW w:type="dxa" w:w="2340"/>
            <w:vAlign w:val="top"/>
          </w:tcPr>
          <w:p>
            <w:r>
              <w:rPr>
                <w:sz w:val="21"/>
              </w:rPr>
            </w:r>
          </w:p>
        </w:tc>
      </w:tr>
      <w:tr>
        <w:tc>
          <w:tcPr>
            <w:tcW w:type="dxa" w:w="2340"/>
            <w:vAlign w:val="top"/>
          </w:tcPr>
          <w:p>
            <w:r>
              <w:rPr>
                <w:sz w:val="21"/>
              </w:rPr>
            </w:r>
            <w:r>
              <w:rPr>
                <w:sz w:val="21"/>
              </w:rPr>
              <w:t>5</w:t>
            </w:r>
          </w:p>
        </w:tc>
        <w:tc>
          <w:tcPr>
            <w:tcW w:type="dxa" w:w="2340"/>
            <w:vAlign w:val="top"/>
          </w:tcPr>
          <w:p>
            <w:r>
              <w:rPr>
                <w:sz w:val="21"/>
              </w:rPr>
            </w:r>
            <w:r>
              <w:rPr>
                <w:sz w:val="21"/>
              </w:rPr>
              <w:t>Organic, GBP, reviews, yard signs</w:t>
            </w:r>
          </w:p>
        </w:tc>
        <w:tc>
          <w:tcPr>
            <w:tcW w:type="dxa" w:w="2340"/>
            <w:vAlign w:val="top"/>
          </w:tcPr>
          <w:p>
            <w:r>
              <w:rPr>
                <w:sz w:val="21"/>
              </w:rPr>
            </w:r>
            <w:r>
              <w:rPr>
                <w:sz w:val="21"/>
              </w:rPr>
              <w:t>Low cash cost</w:t>
            </w:r>
          </w:p>
        </w:tc>
        <w:tc>
          <w:tcPr>
            <w:tcW w:type="dxa" w:w="2340"/>
            <w:vAlign w:val="top"/>
          </w:tcPr>
          <w:p>
            <w:r>
              <w:rPr>
                <w:sz w:val="21"/>
              </w:rPr>
            </w:r>
          </w:p>
        </w:tc>
      </w:tr>
    </w:tbl>
    <w:p>
      <w:pPr>
        <w:spacing w:after="120"/>
      </w:pPr>
      <w:r>
        <w:t>Where leads die (analyst observations, not sourced):</w:t>
      </w:r>
    </w:p>
    <w:p>
      <w:pPr>
        <w:pStyle w:val="ListBullet"/>
        <w:spacing w:after="40"/>
      </w:pPr>
      <w:r>
        <w:rPr>
          <w:b/>
        </w:rPr>
        <w:t>Speed to first contact.</w:t>
      </w:r>
      <w:r>
        <w:t xml:space="preserve"> Homeowners often request quotes from 2 to 4 companies, and the first live response tends to win the inspection. Missed calls while crews are on site are the main leak, which is where the Voice AI and customer SMS back-end applies.</w:t>
      </w:r>
    </w:p>
    <w:p>
      <w:pPr>
        <w:pStyle w:val="ListBullet"/>
        <w:spacing w:after="40"/>
      </w:pPr>
      <w:r>
        <w:rPr>
          <w:b/>
        </w:rPr>
        <w:t>Inspection scheduling and no-shows.</w:t>
      </w:r>
      <w:r>
        <w:t xml:space="preserve"> The free inspection is the conversion gate.</w:t>
      </w:r>
    </w:p>
    <w:p>
      <w:pPr>
        <w:pStyle w:val="ListBullet"/>
        <w:spacing w:after="40"/>
      </w:pPr>
      <w:r>
        <w:rPr>
          <w:b/>
        </w:rPr>
        <w:t>Price shock.</w:t>
      </w:r>
      <w:r>
        <w:t xml:space="preserve"> Homeowners who expected $1K to $3K meet a $10K+ scope, so financing and engineer-report framing matter.</w:t>
      </w:r>
    </w:p>
    <w:p>
      <w:pPr>
        <w:pStyle w:val="ListBullet"/>
        <w:spacing w:after="40"/>
      </w:pPr>
      <w:r>
        <w:rPr>
          <w:b/>
        </w:rPr>
        <w:t>Sticker-shock stall.</w:t>
      </w:r>
      <w:r>
        <w:t xml:space="preserve"> Follow-up cadence after the quote is where many booked jobs are won back.</w:t>
      </w:r>
    </w:p>
    <w:p>
      <w:pPr>
        <w:pStyle w:val="Heading3"/>
      </w:pPr>
      <w:r>
        <w:t>5. Owner-Operator vs. Consolidation</w:t>
      </w:r>
    </w:p>
    <w:p>
      <w:pPr>
        <w:spacing w:after="120"/>
      </w:pPr>
      <w:r>
        <w:t>No authoritative split exists. Based on the fragmented structure (10,000+ firms against a handful of platforms), independents plausibly make up 85% to 90% or more of firms by count (est.). Franchise and dealer networks (Ram Jack, Supportworks) are better described as affiliated independents. PE-backed platforms hold a meaningful but minority revenue share, concentrated in Texas, the Southeast, the Mid-Atlantic, and the Midwest.</w:t>
      </w:r>
    </w:p>
    <w:p>
      <w:pPr>
        <w:spacing w:after="120"/>
      </w:pPr>
      <w:r>
        <w:t>Active 2025 to 2026 rollups (verified through deal announcements):</w:t>
      </w:r>
    </w:p>
    <w:p>
      <w:pPr>
        <w:pStyle w:val="ListBullet"/>
        <w:spacing w:after="40"/>
      </w:pPr>
      <w:r>
        <w:rPr>
          <w:b/>
        </w:rPr>
        <w:t>Groundworks (KKR).</w:t>
      </w:r>
      <w:r>
        <w:t xml:space="preserve"> Acquired AquaGuard. Press coverage also reports a Houston deal (Leveled Concrete, September 2025) and WTX Foundation Repair (February 2026), which came from aggregator summaries and were not confirmed against the primary releases.</w:t>
      </w:r>
    </w:p>
    <w:p>
      <w:pPr>
        <w:pStyle w:val="ListBullet"/>
        <w:spacing w:after="40"/>
      </w:pPr>
      <w:r>
        <w:rPr>
          <w:b/>
        </w:rPr>
        <w:t>Solid Ground Solutions (CenterOak).</w:t>
      </w:r>
      <w:r>
        <w:t xml:space="preserve"> Platform formed January 2025, Columbus, Ohio, with add-ons planned.</w:t>
      </w:r>
    </w:p>
    <w:p>
      <w:pPr>
        <w:pStyle w:val="ListBullet"/>
        <w:spacing w:after="40"/>
      </w:pPr>
      <w:r>
        <w:rPr>
          <w:b/>
        </w:rPr>
        <w:t>Vanterra (Percheron).</w:t>
      </w:r>
      <w:r>
        <w:t xml:space="preserve"> Added 58 Foundations &amp; Waterproofing (Knoxville) in January 2025.</w:t>
      </w:r>
    </w:p>
    <w:p>
      <w:pPr>
        <w:pStyle w:val="ListBullet"/>
        <w:spacing w:after="40"/>
      </w:pPr>
      <w:r>
        <w:rPr>
          <w:b/>
        </w:rPr>
        <w:t>AnchorPoint (Oridian).</w:t>
      </w:r>
      <w:r>
        <w:t xml:space="preserve"> Launched June 2026 with five initial brands. AnchorPoint is a separate platform and does not include Solid Ground.</w:t>
      </w:r>
    </w:p>
    <w:p>
      <w:pPr>
        <w:spacing w:after="120"/>
      </w:pPr>
      <w:r>
        <w:t>Operational implication: exit valuations of 4x to 9x EBITDA mean some independents are already being approached by buyers. In markets with an active platform, outreach can verify whether a prospect has recently sold or signed a letter of intent.</w:t>
      </w:r>
    </w:p>
    <w:p>
      <w:pPr>
        <w:pStyle w:val="Heading3"/>
      </w:pPr>
      <w:r>
        <w:t>6. Operator Profile and Outreach Reachability</w:t>
      </w:r>
    </w:p>
    <w:p>
      <w:pPr>
        <w:spacing w:after="120"/>
      </w:pPr>
      <w:r>
        <w:t>All items below are qualitative (est.) and not backed by a survey.</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2E4A6B"/>
            <w:vAlign w:val="center"/>
          </w:tcPr>
          <w:p>
            <w:r/>
            <w:r>
              <w:rPr>
                <w:b/>
                <w:color w:val="FFFFFF"/>
                <w:sz w:val="22"/>
              </w:rPr>
              <w:t>Dimension</w:t>
            </w:r>
          </w:p>
        </w:tc>
        <w:tc>
          <w:tcPr>
            <w:tcW w:type="dxa" w:w="4680"/>
            <w:shd w:val="clear" w:color="auto" w:fill="2E4A6B"/>
            <w:vAlign w:val="center"/>
          </w:tcPr>
          <w:p>
            <w:r/>
            <w:r>
              <w:rPr>
                <w:b/>
                <w:color w:val="FFFFFF"/>
                <w:sz w:val="22"/>
              </w:rPr>
              <w:t>Observation</w:t>
            </w:r>
          </w:p>
        </w:tc>
      </w:tr>
      <w:tr>
        <w:tc>
          <w:tcPr>
            <w:tcW w:type="dxa" w:w="4680"/>
            <w:vAlign w:val="top"/>
          </w:tcPr>
          <w:p>
            <w:r>
              <w:rPr>
                <w:sz w:val="21"/>
              </w:rPr>
            </w:r>
            <w:r>
              <w:rPr>
                <w:sz w:val="21"/>
              </w:rPr>
              <w:t>Owner age</w:t>
            </w:r>
          </w:p>
        </w:tc>
        <w:tc>
          <w:tcPr>
            <w:tcW w:type="dxa" w:w="4680"/>
            <w:vAlign w:val="top"/>
          </w:tcPr>
          <w:p>
            <w:r>
              <w:rPr>
                <w:sz w:val="21"/>
              </w:rPr>
            </w:r>
            <w:r>
              <w:rPr>
                <w:sz w:val="21"/>
              </w:rPr>
              <w:t>Skews 40 to 60 (est.). Many are former crew members, estimators, or installers who started a firm.</w:t>
            </w:r>
          </w:p>
        </w:tc>
      </w:tr>
      <w:tr>
        <w:tc>
          <w:tcPr>
            <w:tcW w:type="dxa" w:w="4680"/>
            <w:vAlign w:val="top"/>
          </w:tcPr>
          <w:p>
            <w:r>
              <w:rPr>
                <w:sz w:val="21"/>
              </w:rPr>
            </w:r>
            <w:r>
              <w:rPr>
                <w:sz w:val="21"/>
              </w:rPr>
              <w:t>Tech sophistication</w:t>
            </w:r>
          </w:p>
        </w:tc>
        <w:tc>
          <w:tcPr>
            <w:tcW w:type="dxa" w:w="4680"/>
            <w:vAlign w:val="top"/>
          </w:tcPr>
          <w:p>
            <w:r>
              <w:rPr>
                <w:sz w:val="21"/>
              </w:rPr>
            </w:r>
            <w:r>
              <w:rPr>
                <w:sz w:val="21"/>
              </w:rPr>
              <w:t>Moderate. Uses a cell phone, a basic CRM or estimating tool, and Google Business Profile.</w:t>
            </w:r>
          </w:p>
        </w:tc>
      </w:tr>
      <w:tr>
        <w:tc>
          <w:tcPr>
            <w:tcW w:type="dxa" w:w="4680"/>
            <w:vAlign w:val="top"/>
          </w:tcPr>
          <w:p>
            <w:r>
              <w:rPr>
                <w:sz w:val="21"/>
              </w:rPr>
            </w:r>
            <w:r>
              <w:rPr>
                <w:sz w:val="21"/>
              </w:rPr>
              <w:t>Marketing maturity</w:t>
            </w:r>
          </w:p>
        </w:tc>
        <w:tc>
          <w:tcPr>
            <w:tcW w:type="dxa" w:w="4680"/>
            <w:vAlign w:val="top"/>
          </w:tcPr>
          <w:p>
            <w:r>
              <w:rPr>
                <w:sz w:val="21"/>
              </w:rPr>
            </w:r>
            <w:r>
              <w:rPr>
                <w:sz w:val="21"/>
              </w:rPr>
              <w:t>Low to moderate. Typically relies on referrals, a website, and perhaps one lead-vendor relationship.</w:t>
            </w:r>
          </w:p>
        </w:tc>
      </w:tr>
      <w:tr>
        <w:tc>
          <w:tcPr>
            <w:tcW w:type="dxa" w:w="4680"/>
            <w:vAlign w:val="top"/>
          </w:tcPr>
          <w:p>
            <w:r>
              <w:rPr>
                <w:sz w:val="21"/>
              </w:rPr>
            </w:r>
            <w:r>
              <w:rPr>
                <w:sz w:val="21"/>
              </w:rPr>
              <w:t>Willingness to invest in paid ads</w:t>
            </w:r>
          </w:p>
        </w:tc>
        <w:tc>
          <w:tcPr>
            <w:tcW w:type="dxa" w:w="4680"/>
            <w:vAlign w:val="top"/>
          </w:tcPr>
          <w:p>
            <w:r>
              <w:rPr>
                <w:sz w:val="21"/>
              </w:rPr>
            </w:r>
            <w:r>
              <w:rPr>
                <w:sz w:val="21"/>
              </w:rPr>
              <w:t>MODERATE to STRONG. High tickets make paid spend easy to justify, and many already pay for LSA.</w:t>
            </w:r>
          </w:p>
        </w:tc>
      </w:tr>
      <w:tr>
        <w:tc>
          <w:tcPr>
            <w:tcW w:type="dxa" w:w="4680"/>
            <w:vAlign w:val="top"/>
          </w:tcPr>
          <w:p>
            <w:r>
              <w:rPr>
                <w:sz w:val="21"/>
              </w:rPr>
            </w:r>
            <w:r>
              <w:rPr>
                <w:sz w:val="21"/>
              </w:rPr>
              <w:t>SMS reachability for outbound pitching</w:t>
            </w:r>
          </w:p>
        </w:tc>
        <w:tc>
          <w:tcPr>
            <w:tcW w:type="dxa" w:w="4680"/>
            <w:vAlign w:val="top"/>
          </w:tcPr>
          <w:p>
            <w:r>
              <w:rPr>
                <w:sz w:val="21"/>
              </w:rPr>
            </w:r>
            <w:r>
              <w:rPr>
                <w:sz w:val="21"/>
              </w:rPr>
              <w:t>MODERATE to STRONG. The cell phone is typically the business line, listed on the website and Google profile. Larger shops route calls through office staff, so SMS lands better with the 1 to 4 person ICP.</w:t>
            </w:r>
          </w:p>
        </w:tc>
      </w:tr>
    </w:tbl>
    <w:p>
      <w:pPr>
        <w:spacing w:after="120"/>
      </w:pPr>
      <w:r>
        <w:t>Outreach (SMS) and the offer (Facebook Ads management) are scored separately. Weaker SMS reachability in a given market would call for an alternate outreach channel, and the offer itself would be unaffected.</w:t>
      </w:r>
    </w:p>
    <w:p>
      <w:pPr>
        <w:pStyle w:val="Heading3"/>
      </w:pPr>
      <w:r>
        <w:t>7. Facebook Ads Channel Fit (Primary Section)</w:t>
      </w:r>
    </w:p>
    <w:p>
      <w:pPr>
        <w:spacing w:after="120"/>
      </w:pPr>
      <w:r>
        <w:rPr>
          <w:b/>
        </w:rPr>
        <w:t>Does Facebook work?</w:t>
      </w:r>
      <w:r>
        <w:t xml:space="preserve"> Yes, with a specific role. Foundation repair is a need-driven purchase, and most homeowners do not browse for it. One agency source describes Facebook as not the primary lead channel but the best way to warm top-of-funnel audiences and lower Google CPL (agency source, excerpt only). The evidence for Facebook as a standalone primary channel is thin. The case for it rests on three things: a $7K to $10K estimated ticket, a visible symptom set (cracks, sticking doors, sloping floors) that homeowners can recognize in a creative, and an audience of older homeowners who are active on the platform. Proof of performance in this niche would come from early campaigns, since public foundation-specific benchmarks are limited.</w:t>
      </w:r>
    </w:p>
    <w:p>
      <w:pPr>
        <w:spacing w:after="120"/>
      </w:pPr>
      <w:r>
        <w:rPr>
          <w:b/>
        </w:rPr>
        <w:t>CPL benchmarks.</w:t>
      </w:r>
    </w:p>
    <w:p>
      <w:pPr>
        <w:pStyle w:val="ListBullet"/>
        <w:spacing w:after="40"/>
      </w:pPr>
      <w:r>
        <w:t>Cross-industry Facebook lead ads: $27.66 average (2025); other aggregated ranges are $28 to $50.</w:t>
      </w:r>
    </w:p>
    <w:p>
      <w:pPr>
        <w:pStyle w:val="ListBullet"/>
        <w:spacing w:after="40"/>
      </w:pPr>
      <w:r>
        <w:t>Foundation-specific estimate: $40 to $120 per form lead, with a lower-intent lead requiring more qualification (est.).</w:t>
      </w:r>
    </w:p>
    <w:p>
      <w:pPr>
        <w:pStyle w:val="ListBullet"/>
        <w:spacing w:after="40"/>
      </w:pPr>
      <w:r>
        <w:t>Comparison to Google LSA at $60 to $75. Facebook leads are cheaper per lead but convert at a lower rate because intent is created, not captured. The more useful metric is cost per booked inspection and cost per signed job.</w:t>
      </w:r>
    </w:p>
    <w:p>
      <w:pPr>
        <w:pStyle w:val="ListBullet"/>
        <w:spacing w:after="40"/>
      </w:pPr>
      <w:r>
        <w:t>Illustrative math (est.): at $80 CPL, a 25% lead-to-inspection rate, and a 30% inspection-to-close rate, cost per job is about $1,070, against a ~$7K to $10K ticket.</w:t>
      </w:r>
    </w:p>
    <w:p>
      <w:pPr>
        <w:spacing w:after="120"/>
      </w:pPr>
      <w:r>
        <w:rPr>
          <w:b/>
        </w:rPr>
        <w:t>Top 3 winning creative angles</w:t>
      </w:r>
      <w:r>
        <w:t xml:space="preserve"> (analyst synthesis of common patterns in the trade, not tested data):</w:t>
      </w:r>
    </w:p>
    <w:p>
      <w:pPr>
        <w:pStyle w:val="ListNumber"/>
        <w:spacing w:after="40"/>
      </w:pPr>
      <w:r>
        <w:rPr>
          <w:b/>
        </w:rPr>
        <w:t>Symptom recognition.</w:t>
      </w:r>
      <w:r>
        <w:t xml:space="preserve"> Real photos of stair-step cracks, sticking doors, and sloping floors with a "Is this serious?" hook. It speaks to homeowners who have noticed a symptom and have not acted.</w:t>
      </w:r>
    </w:p>
    <w:p>
      <w:pPr>
        <w:pStyle w:val="ListNumber"/>
        <w:spacing w:after="40"/>
      </w:pPr>
      <w:r>
        <w:rPr>
          <w:b/>
        </w:rPr>
        <w:t>Free inspection plus engineer-style assessment.</w:t>
      </w:r>
      <w:r>
        <w:t xml:space="preserve"> A no-pressure inspection with a written report lowers the commitment barrier and positions the operator against high-pressure national sales teams.</w:t>
      </w:r>
    </w:p>
    <w:p>
      <w:pPr>
        <w:pStyle w:val="ListNumber"/>
        <w:spacing w:after="40"/>
      </w:pPr>
      <w:r>
        <w:rPr>
          <w:b/>
        </w:rPr>
        <w:t>Local proof and warranty.</w:t>
      </w:r>
      <w:r>
        <w:t xml:space="preserve"> Before and after jobs, the owner on camera, a transferable warranty, and local review counts. Independents can contrast with PE-backed brands on accountability.</w:t>
      </w:r>
    </w:p>
    <w:p>
      <w:pPr>
        <w:spacing w:after="120"/>
      </w:pPr>
      <w:r>
        <w:rPr>
          <w:b/>
        </w:rPr>
        <w:t>Recommended offer architecture</w:t>
      </w:r>
      <w:r>
        <w:t xml:space="preserve"> (descriptive of how the niche tends to stack):</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2E4A6B"/>
            <w:vAlign w:val="center"/>
          </w:tcPr>
          <w:p>
            <w:r/>
            <w:r>
              <w:rPr>
                <w:b/>
                <w:color w:val="FFFFFF"/>
                <w:sz w:val="22"/>
              </w:rPr>
              <w:t>Layer</w:t>
            </w:r>
          </w:p>
        </w:tc>
        <w:tc>
          <w:tcPr>
            <w:tcW w:type="dxa" w:w="4680"/>
            <w:shd w:val="clear" w:color="auto" w:fill="2E4A6B"/>
            <w:vAlign w:val="center"/>
          </w:tcPr>
          <w:p>
            <w:r/>
            <w:r>
              <w:rPr>
                <w:b/>
                <w:color w:val="FFFFFF"/>
                <w:sz w:val="22"/>
              </w:rPr>
              <w:t>Offer</w:t>
            </w:r>
          </w:p>
        </w:tc>
      </w:tr>
      <w:tr>
        <w:tc>
          <w:tcPr>
            <w:tcW w:type="dxa" w:w="4680"/>
            <w:vAlign w:val="top"/>
          </w:tcPr>
          <w:p>
            <w:r>
              <w:rPr>
                <w:sz w:val="21"/>
              </w:rPr>
            </w:r>
            <w:r>
              <w:rPr>
                <w:sz w:val="21"/>
              </w:rPr>
              <w:t>Front-end loss leader</w:t>
            </w:r>
          </w:p>
        </w:tc>
        <w:tc>
          <w:tcPr>
            <w:tcW w:type="dxa" w:w="4680"/>
            <w:vAlign w:val="top"/>
          </w:tcPr>
          <w:p>
            <w:r>
              <w:rPr>
                <w:sz w:val="21"/>
              </w:rPr>
            </w:r>
            <w:r>
              <w:rPr>
                <w:sz w:val="21"/>
              </w:rPr>
              <w:t>Free foundation inspection, or a low-priced inspection with a written report that credits toward the job.</w:t>
            </w:r>
          </w:p>
        </w:tc>
      </w:tr>
      <w:tr>
        <w:tc>
          <w:tcPr>
            <w:tcW w:type="dxa" w:w="4680"/>
            <w:vAlign w:val="top"/>
          </w:tcPr>
          <w:p>
            <w:r>
              <w:rPr>
                <w:sz w:val="21"/>
              </w:rPr>
            </w:r>
            <w:r>
              <w:rPr>
                <w:sz w:val="21"/>
              </w:rPr>
              <w:t>Core ticket</w:t>
            </w:r>
          </w:p>
        </w:tc>
        <w:tc>
          <w:tcPr>
            <w:tcW w:type="dxa" w:w="4680"/>
            <w:vAlign w:val="top"/>
          </w:tcPr>
          <w:p>
            <w:r>
              <w:rPr>
                <w:sz w:val="21"/>
              </w:rPr>
            </w:r>
            <w:r>
              <w:rPr>
                <w:sz w:val="21"/>
              </w:rPr>
              <w:t>Pier or leveling job at $6K to $16K, financing offered.</w:t>
            </w:r>
          </w:p>
        </w:tc>
      </w:tr>
      <w:tr>
        <w:tc>
          <w:tcPr>
            <w:tcW w:type="dxa" w:w="4680"/>
            <w:vAlign w:val="top"/>
          </w:tcPr>
          <w:p>
            <w:r>
              <w:rPr>
                <w:sz w:val="21"/>
              </w:rPr>
            </w:r>
            <w:r>
              <w:rPr>
                <w:sz w:val="21"/>
              </w:rPr>
              <w:t>On-site upsell</w:t>
            </w:r>
          </w:p>
        </w:tc>
        <w:tc>
          <w:tcPr>
            <w:tcW w:type="dxa" w:w="4680"/>
            <w:vAlign w:val="top"/>
          </w:tcPr>
          <w:p>
            <w:r>
              <w:rPr>
                <w:sz w:val="21"/>
              </w:rPr>
            </w:r>
            <w:r>
              <w:rPr>
                <w:sz w:val="21"/>
              </w:rPr>
              <w:t>Drainage, gutter and grading correction, crawl space moisture control, concrete leveling, and waterproofing where it overlaps.</w:t>
            </w:r>
          </w:p>
        </w:tc>
      </w:tr>
      <w:tr>
        <w:tc>
          <w:tcPr>
            <w:tcW w:type="dxa" w:w="4680"/>
            <w:vAlign w:val="top"/>
          </w:tcPr>
          <w:p>
            <w:r>
              <w:rPr>
                <w:sz w:val="21"/>
              </w:rPr>
            </w:r>
            <w:r>
              <w:rPr>
                <w:sz w:val="21"/>
              </w:rPr>
              <w:t>Recurring play</w:t>
            </w:r>
          </w:p>
        </w:tc>
        <w:tc>
          <w:tcPr>
            <w:tcW w:type="dxa" w:w="4680"/>
            <w:vAlign w:val="top"/>
          </w:tcPr>
          <w:p>
            <w:r>
              <w:rPr>
                <w:sz w:val="21"/>
              </w:rPr>
            </w:r>
            <w:r>
              <w:rPr>
                <w:sz w:val="21"/>
              </w:rPr>
              <w:t>Annual monitoring or inspection plan, transferable warranty registration, and referral incentives to realtors and neighbors.</w:t>
            </w:r>
          </w:p>
        </w:tc>
      </w:tr>
    </w:tbl>
    <w:p>
      <w:pPr>
        <w:spacing w:after="120"/>
      </w:pPr>
      <w:r>
        <w:rPr>
          <w:b/>
        </w:rPr>
        <w:t>Audience targeting parameters</w:t>
      </w:r>
      <w:r>
        <w:t xml:space="preserve"> (starting points, to be validated):</w:t>
      </w:r>
    </w:p>
    <w:p>
      <w:pPr>
        <w:pStyle w:val="ListBullet"/>
        <w:spacing w:after="40"/>
      </w:pPr>
      <w:r>
        <w:t>Homeowners aged 40 to 70 within a 15 to 30 mile service radius.</w:t>
      </w:r>
    </w:p>
    <w:p>
      <w:pPr>
        <w:pStyle w:val="ListBullet"/>
        <w:spacing w:after="40"/>
      </w:pPr>
      <w:r>
        <w:t>Home age of roughly 20+ years where the platform allows proxies; zip codes selected by soil type (expansive clay, high water table) and housing stock, such as pier-and-beam neighborhoods in Texas.</w:t>
      </w:r>
    </w:p>
    <w:p>
      <w:pPr>
        <w:pStyle w:val="ListBullet"/>
        <w:spacing w:after="40"/>
      </w:pPr>
      <w:r>
        <w:t>Broad targeting with strong creative tends to outperform narrow interest stacks under current Meta delivery (general practitioner view, not sourced).</w:t>
      </w:r>
    </w:p>
    <w:p>
      <w:pPr>
        <w:pStyle w:val="ListBullet"/>
        <w:spacing w:after="40"/>
      </w:pPr>
      <w:r>
        <w:t>Retargeting video viewers and website visitors; lookalikes from past customers.</w:t>
      </w:r>
    </w:p>
    <w:p>
      <w:pPr>
        <w:pStyle w:val="ListBullet"/>
        <w:spacing w:after="40"/>
      </w:pPr>
      <w:r>
        <w:t>Lead form with 3 to 5 fields plus a qualifying question (symptom type, owner or renter) to reduce unqualified submissions.</w:t>
      </w:r>
    </w:p>
    <w:p>
      <w:pPr>
        <w:pStyle w:val="ListBullet"/>
        <w:spacing w:after="40"/>
      </w:pPr>
      <w:r>
        <w:t>Backstopped by Voice AI missed-call recovery and customer SMS follow-up, since speed to first contact is the main place leads are lost.</w:t>
      </w:r>
    </w:p>
    <w:p>
      <w:pPr>
        <w:pStyle w:val="Heading3"/>
      </w:pPr>
      <w:r>
        <w:t>Fit Summary</w:t>
      </w:r>
    </w:p>
    <w:p>
      <w:pPr>
        <w:spacing w:after="120"/>
      </w:pPr>
      <w:r>
        <w:rPr>
          <w:b/>
        </w:rPr>
        <w:t>Overall: Workable Fit to Strong Fit.</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2E4A6B"/>
            <w:vAlign w:val="center"/>
          </w:tcPr>
          <w:p>
            <w:r/>
            <w:r>
              <w:rPr>
                <w:b/>
                <w:color w:val="FFFFFF"/>
                <w:sz w:val="22"/>
              </w:rPr>
              <w:t>Dimension</w:t>
            </w:r>
          </w:p>
        </w:tc>
        <w:tc>
          <w:tcPr>
            <w:tcW w:type="dxa" w:w="4680"/>
            <w:shd w:val="clear" w:color="auto" w:fill="2E4A6B"/>
            <w:vAlign w:val="center"/>
          </w:tcPr>
          <w:p>
            <w:r/>
            <w:r>
              <w:rPr>
                <w:b/>
                <w:color w:val="FFFFFF"/>
                <w:sz w:val="22"/>
              </w:rPr>
              <w:t>Rating</w:t>
            </w:r>
          </w:p>
        </w:tc>
      </w:tr>
      <w:tr>
        <w:tc>
          <w:tcPr>
            <w:tcW w:type="dxa" w:w="4680"/>
            <w:vAlign w:val="top"/>
          </w:tcPr>
          <w:p>
            <w:r>
              <w:rPr>
                <w:sz w:val="21"/>
              </w:rPr>
            </w:r>
            <w:r>
              <w:rPr>
                <w:sz w:val="21"/>
              </w:rPr>
              <w:t>AOV versus retainer</w:t>
            </w:r>
          </w:p>
        </w:tc>
        <w:tc>
          <w:tcPr>
            <w:tcW w:type="dxa" w:w="4680"/>
            <w:vAlign w:val="top"/>
          </w:tcPr>
          <w:p>
            <w:r>
              <w:rPr>
                <w:sz w:val="21"/>
              </w:rPr>
            </w:r>
            <w:r>
              <w:rPr>
                <w:sz w:val="21"/>
              </w:rPr>
              <w:t>STRONG</w:t>
            </w:r>
          </w:p>
        </w:tc>
      </w:tr>
      <w:tr>
        <w:tc>
          <w:tcPr>
            <w:tcW w:type="dxa" w:w="4680"/>
            <w:vAlign w:val="top"/>
          </w:tcPr>
          <w:p>
            <w:r>
              <w:rPr>
                <w:sz w:val="21"/>
              </w:rPr>
            </w:r>
            <w:r>
              <w:rPr>
                <w:sz w:val="21"/>
              </w:rPr>
              <w:t>Facebook Ads channel fit</w:t>
            </w:r>
          </w:p>
        </w:tc>
        <w:tc>
          <w:tcPr>
            <w:tcW w:type="dxa" w:w="4680"/>
            <w:vAlign w:val="top"/>
          </w:tcPr>
          <w:p>
            <w:r>
              <w:rPr>
                <w:sz w:val="21"/>
              </w:rPr>
            </w:r>
            <w:r>
              <w:rPr>
                <w:sz w:val="21"/>
              </w:rPr>
              <w:t>MODERATE (a demand-creation channel with a high ticket)</w:t>
            </w:r>
          </w:p>
        </w:tc>
      </w:tr>
      <w:tr>
        <w:tc>
          <w:tcPr>
            <w:tcW w:type="dxa" w:w="4680"/>
            <w:vAlign w:val="top"/>
          </w:tcPr>
          <w:p>
            <w:r>
              <w:rPr>
                <w:sz w:val="21"/>
              </w:rPr>
            </w:r>
            <w:r>
              <w:rPr>
                <w:sz w:val="21"/>
              </w:rPr>
              <w:t>SMS outreach reachability</w:t>
            </w:r>
          </w:p>
        </w:tc>
        <w:tc>
          <w:tcPr>
            <w:tcW w:type="dxa" w:w="4680"/>
            <w:vAlign w:val="top"/>
          </w:tcPr>
          <w:p>
            <w:r>
              <w:rPr>
                <w:sz w:val="21"/>
              </w:rPr>
            </w:r>
            <w:r>
              <w:rPr>
                <w:sz w:val="21"/>
              </w:rPr>
              <w:t>MODERATE to STRONG</w:t>
            </w:r>
          </w:p>
        </w:tc>
      </w:tr>
      <w:tr>
        <w:tc>
          <w:tcPr>
            <w:tcW w:type="dxa" w:w="4680"/>
            <w:vAlign w:val="top"/>
          </w:tcPr>
          <w:p>
            <w:r>
              <w:rPr>
                <w:sz w:val="21"/>
              </w:rPr>
            </w:r>
            <w:r>
              <w:rPr>
                <w:sz w:val="21"/>
              </w:rPr>
              <w:t>Market fragmentation</w:t>
            </w:r>
          </w:p>
        </w:tc>
        <w:tc>
          <w:tcPr>
            <w:tcW w:type="dxa" w:w="4680"/>
            <w:vAlign w:val="top"/>
          </w:tcPr>
          <w:p>
            <w:r>
              <w:rPr>
                <w:sz w:val="21"/>
              </w:rPr>
            </w:r>
            <w:r>
              <w:rPr>
                <w:sz w:val="21"/>
              </w:rPr>
              <w:t>STRONG</w:t>
            </w:r>
          </w:p>
        </w:tc>
      </w:tr>
    </w:tbl>
    <w:p>
      <w:pPr>
        <w:spacing w:after="120"/>
      </w:pPr>
      <w:r>
        <w:rPr>
          <w:b/>
        </w:rPr>
        <w:t>Planning notes</w:t>
      </w:r>
    </w:p>
    <w:p>
      <w:pPr>
        <w:pStyle w:val="ListNumber"/>
        <w:spacing w:after="40"/>
      </w:pPr>
      <w:r>
        <w:rPr>
          <w:b/>
        </w:rPr>
        <w:t>Consolidation and geography.</w:t>
      </w:r>
      <w:r>
        <w:t xml:space="preserve"> Platform activity is heaviest in Texas, the Southeast, the Mid-Atlantic, and Ohio. Markets with several roll-ups bidding for leads can face higher Google costs and more buyer interest in independents. Markets in clay-soil regions have the deepest demand.</w:t>
      </w:r>
    </w:p>
    <w:p>
      <w:pPr>
        <w:pStyle w:val="ListNumber"/>
        <w:spacing w:after="40"/>
      </w:pPr>
      <w:r>
        <w:rPr>
          <w:b/>
        </w:rPr>
        <w:t>Seasonality and sales cycle.</w:t>
      </w:r>
      <w:r>
        <w:t xml:space="preserve"> Foundation issues surface in dry-spell and wet-season swings, and winter can slow exterior work in northern states. Higher-ticket scopes also bring longer decisions and a financing step. A 30 to 60 day close cycle is typical.</w:t>
      </w:r>
    </w:p>
    <w:p>
      <w:pPr>
        <w:pStyle w:val="ListNumber"/>
        <w:spacing w:after="40"/>
      </w:pPr>
      <w:r>
        <w:rPr>
          <w:b/>
        </w:rPr>
        <w:t>Regulatory and data quality.</w:t>
      </w:r>
      <w:r>
        <w:t xml:space="preserve"> Licensing, engineering requirements, and warranty terms vary by state. Market-size and CPL data in the public domain are thin and conflicting, so early campaign results will be the real benchmark.</w:t>
      </w:r>
    </w:p>
    <w:p>
      <w:pPr>
        <w:pBdr>
          <w:bottom w:val="single" w:sz="6" w:space="1" w:color="C0C8D0"/>
        </w:pBdr>
        <w:spacing w:after="160"/>
      </w:pPr>
    </w:p>
    <w:p>
      <w:pPr>
        <w:pStyle w:val="Heading2"/>
      </w:pPr>
      <w:r>
        <w:t>Section 2: Offer Bank</w:t>
      </w:r>
    </w:p>
    <w:p>
      <w:pPr>
        <w:pBdr>
          <w:bottom w:val="single" w:sz="6" w:space="1" w:color="C0C8D0"/>
        </w:pBdr>
        <w:spacing w:after="160"/>
      </w:pPr>
    </w:p>
    <w:p>
      <w:pPr>
        <w:pStyle w:val="Heading3"/>
      </w:pPr>
      <w:r>
        <w:t>Channel Signal from the Ad Library</w:t>
      </w:r>
    </w:p>
    <w:p>
      <w:pPr>
        <w:spacing w:after="120"/>
      </w:pPr>
      <w:r>
        <w:t>Four distinct advertisers appeared in the captured set, ranging from a 90-year regional brand to small local crack-repair shops.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2E4A6B"/>
            <w:vAlign w:val="center"/>
          </w:tcPr>
          <w:p>
            <w:r/>
            <w:r>
              <w:rPr>
                <w:b/>
                <w:color w:val="FFFFFF"/>
                <w:sz w:val="22"/>
              </w:rPr>
              <w:t>Advertiser</w:t>
            </w:r>
          </w:p>
        </w:tc>
        <w:tc>
          <w:tcPr>
            <w:tcW w:type="dxa" w:w="2340"/>
            <w:shd w:val="clear" w:color="auto" w:fill="2E4A6B"/>
            <w:vAlign w:val="center"/>
          </w:tcPr>
          <w:p>
            <w:r/>
            <w:r>
              <w:rPr>
                <w:b/>
                <w:color w:val="FFFFFF"/>
                <w:sz w:val="22"/>
              </w:rPr>
              <w:t>Market</w:t>
            </w:r>
          </w:p>
        </w:tc>
        <w:tc>
          <w:tcPr>
            <w:tcW w:type="dxa" w:w="2340"/>
            <w:shd w:val="clear" w:color="auto" w:fill="2E4A6B"/>
            <w:vAlign w:val="center"/>
          </w:tcPr>
          <w:p>
            <w:r/>
            <w:r>
              <w:rPr>
                <w:b/>
                <w:color w:val="FFFFFF"/>
                <w:sz w:val="22"/>
              </w:rPr>
              <w:t>Running since</w:t>
            </w:r>
          </w:p>
        </w:tc>
        <w:tc>
          <w:tcPr>
            <w:tcW w:type="dxa" w:w="2340"/>
            <w:shd w:val="clear" w:color="auto" w:fill="2E4A6B"/>
            <w:vAlign w:val="center"/>
          </w:tcPr>
          <w:p>
            <w:r/>
            <w:r>
              <w:rPr>
                <w:b/>
                <w:color w:val="FFFFFF"/>
                <w:sz w:val="22"/>
              </w:rPr>
              <w:t>What it signals</w:t>
            </w:r>
          </w:p>
        </w:tc>
      </w:tr>
      <w:tr>
        <w:tc>
          <w:tcPr>
            <w:tcW w:type="dxa" w:w="2340"/>
            <w:vAlign w:val="top"/>
          </w:tcPr>
          <w:p>
            <w:r>
              <w:rPr>
                <w:sz w:val="21"/>
              </w:rPr>
            </w:r>
            <w:r>
              <w:rPr>
                <w:sz w:val="21"/>
              </w:rPr>
              <w:t>Olshan Foundation Repair</w:t>
            </w:r>
          </w:p>
        </w:tc>
        <w:tc>
          <w:tcPr>
            <w:tcW w:type="dxa" w:w="2340"/>
            <w:vAlign w:val="top"/>
          </w:tcPr>
          <w:p>
            <w:r>
              <w:rPr>
                <w:sz w:val="21"/>
              </w:rPr>
            </w:r>
            <w:r>
              <w:rPr>
                <w:sz w:val="21"/>
              </w:rPr>
              <w:t>Texas (DFW and statewide)</w:t>
            </w:r>
          </w:p>
        </w:tc>
        <w:tc>
          <w:tcPr>
            <w:tcW w:type="dxa" w:w="2340"/>
            <w:vAlign w:val="top"/>
          </w:tcPr>
          <w:p>
            <w:r>
              <w:rPr>
                <w:sz w:val="21"/>
              </w:rPr>
            </w:r>
            <w:r>
              <w:rPr>
                <w:sz w:val="21"/>
              </w:rPr>
              <w:t>June 2026 (about 4 months), multiple versions and creatives</w:t>
            </w:r>
          </w:p>
        </w:tc>
        <w:tc>
          <w:tcPr>
            <w:tcW w:type="dxa" w:w="2340"/>
            <w:vAlign w:val="top"/>
          </w:tcPr>
          <w:p>
            <w:r>
              <w:rPr>
                <w:sz w:val="21"/>
              </w:rPr>
            </w:r>
            <w:r>
              <w:rPr>
                <w:sz w:val="21"/>
              </w:rPr>
              <w:t>Large regional brand investing in Facebook across foundation, drainage, and concrete lifting</w:t>
            </w:r>
          </w:p>
        </w:tc>
      </w:tr>
      <w:tr>
        <w:tc>
          <w:tcPr>
            <w:tcW w:type="dxa" w:w="2340"/>
            <w:vAlign w:val="top"/>
          </w:tcPr>
          <w:p>
            <w:r>
              <w:rPr>
                <w:sz w:val="21"/>
              </w:rPr>
            </w:r>
            <w:r>
              <w:rPr>
                <w:sz w:val="21"/>
              </w:rPr>
              <w:t>"Foundation repair" page ("Servir no competir")</w:t>
            </w:r>
          </w:p>
        </w:tc>
        <w:tc>
          <w:tcPr>
            <w:tcW w:type="dxa" w:w="2340"/>
            <w:vAlign w:val="top"/>
          </w:tcPr>
          <w:p>
            <w:r>
              <w:rPr>
                <w:sz w:val="21"/>
              </w:rPr>
            </w:r>
            <w:r>
              <w:rPr>
                <w:sz w:val="21"/>
              </w:rPr>
              <w:t>US, Spanish-language tagline</w:t>
            </w:r>
          </w:p>
        </w:tc>
        <w:tc>
          <w:tcPr>
            <w:tcW w:type="dxa" w:w="2340"/>
            <w:vAlign w:val="top"/>
          </w:tcPr>
          <w:p>
            <w:r>
              <w:rPr>
                <w:sz w:val="21"/>
              </w:rPr>
            </w:r>
            <w:r>
              <w:rPr>
                <w:sz w:val="21"/>
              </w:rPr>
              <w:t>August 2, 2023 (about 3 years), still active</w:t>
            </w:r>
          </w:p>
        </w:tc>
        <w:tc>
          <w:tcPr>
            <w:tcW w:type="dxa" w:w="2340"/>
            <w:vAlign w:val="top"/>
          </w:tcPr>
          <w:p>
            <w:r>
              <w:rPr>
                <w:sz w:val="21"/>
              </w:rPr>
            </w:r>
            <w:r>
              <w:rPr>
                <w:sz w:val="21"/>
              </w:rPr>
              <w:t>Long-running ads from a small operator using raw job-site photos and a Messenger call to action</w:t>
            </w:r>
          </w:p>
        </w:tc>
      </w:tr>
      <w:tr>
        <w:tc>
          <w:tcPr>
            <w:tcW w:type="dxa" w:w="2340"/>
            <w:vAlign w:val="top"/>
          </w:tcPr>
          <w:p>
            <w:r>
              <w:rPr>
                <w:sz w:val="21"/>
              </w:rPr>
            </w:r>
            <w:r>
              <w:rPr>
                <w:sz w:val="21"/>
              </w:rPr>
              <w:t>Affordable Foundation and Home Repair (The Crack Guys)</w:t>
            </w:r>
          </w:p>
        </w:tc>
        <w:tc>
          <w:tcPr>
            <w:tcW w:type="dxa" w:w="2340"/>
            <w:vAlign w:val="top"/>
          </w:tcPr>
          <w:p>
            <w:r>
              <w:rPr>
                <w:sz w:val="21"/>
              </w:rPr>
            </w:r>
            <w:r>
              <w:rPr>
                <w:sz w:val="21"/>
              </w:rPr>
              <w:t>Alabama and Tennessee</w:t>
            </w:r>
          </w:p>
        </w:tc>
        <w:tc>
          <w:tcPr>
            <w:tcW w:type="dxa" w:w="2340"/>
            <w:vAlign w:val="top"/>
          </w:tcPr>
          <w:p>
            <w:r>
              <w:rPr>
                <w:sz w:val="21"/>
              </w:rPr>
            </w:r>
            <w:r>
              <w:rPr>
                <w:sz w:val="21"/>
              </w:rPr>
              <w:t>August 2026 (about 7 weeks), carousel with localized phone numbers</w:t>
            </w:r>
          </w:p>
        </w:tc>
        <w:tc>
          <w:tcPr>
            <w:tcW w:type="dxa" w:w="2340"/>
            <w:vAlign w:val="top"/>
          </w:tcPr>
          <w:p>
            <w:r>
              <w:rPr>
                <w:sz w:val="21"/>
              </w:rPr>
            </w:r>
            <w:r>
              <w:rPr>
                <w:sz w:val="21"/>
              </w:rPr>
              <w:t>Small multi-market independent running free-inspection carousels across Facebook, Instagram, and Messenger</w:t>
            </w:r>
          </w:p>
        </w:tc>
      </w:tr>
      <w:tr>
        <w:tc>
          <w:tcPr>
            <w:tcW w:type="dxa" w:w="2340"/>
            <w:vAlign w:val="top"/>
          </w:tcPr>
          <w:p>
            <w:r>
              <w:rPr>
                <w:sz w:val="21"/>
              </w:rPr>
            </w:r>
            <w:r>
              <w:rPr>
                <w:sz w:val="21"/>
              </w:rPr>
              <w:t>Cornerstone Foundation Crack Repair LLC</w:t>
            </w:r>
          </w:p>
        </w:tc>
        <w:tc>
          <w:tcPr>
            <w:tcW w:type="dxa" w:w="2340"/>
            <w:vAlign w:val="top"/>
          </w:tcPr>
          <w:p>
            <w:r>
              <w:rPr>
                <w:sz w:val="21"/>
              </w:rPr>
            </w:r>
            <w:r>
              <w:rPr>
                <w:sz w:val="21"/>
              </w:rPr>
              <w:t>Massachusetts (978 area code, HIC license in copy)</w:t>
            </w:r>
          </w:p>
        </w:tc>
        <w:tc>
          <w:tcPr>
            <w:tcW w:type="dxa" w:w="2340"/>
            <w:vAlign w:val="top"/>
          </w:tcPr>
          <w:p>
            <w:r>
              <w:rPr>
                <w:sz w:val="21"/>
              </w:rPr>
            </w:r>
            <w:r>
              <w:rPr>
                <w:sz w:val="21"/>
              </w:rPr>
              <w:t>September 2026 (new, some low-impression variants)</w:t>
            </w:r>
          </w:p>
        </w:tc>
        <w:tc>
          <w:tcPr>
            <w:tcW w:type="dxa" w:w="2340"/>
            <w:vAlign w:val="top"/>
          </w:tcPr>
          <w:p>
            <w:r>
              <w:rPr>
                <w:sz w:val="21"/>
              </w:rPr>
            </w:r>
            <w:r>
              <w:rPr>
                <w:sz w:val="21"/>
              </w:rPr>
              <w:t>Small independent testing Facebook in an old-housing Northeast market (fieldstone, lally columns)</w:t>
            </w:r>
          </w:p>
        </w:tc>
      </w:tr>
    </w:tbl>
    <w:p>
      <w:pPr>
        <w:spacing w:after="120"/>
      </w:pPr>
      <w:r>
        <w:rPr>
          <w:b/>
        </w:rPr>
        <w:t>Reading:</w:t>
      </w:r>
      <w:r>
        <w:t xml:space="preserve"> multiple advertisers, ads running 3+ months, and spend from both a regional brand and small independents. The channel is economically alive for this niche. The presence of 1 to 4 truck operators (Crack Guys, Cornerstone, the Spanish-language page) alongside Olshan shows that Facebook is not limited to large brands here.</w:t>
      </w:r>
    </w:p>
    <w:p>
      <w:pPr>
        <w:spacing w:after="120"/>
      </w:pPr>
      <w:r>
        <w:t>Common calls to action observed: Get Quote, Contact Us, Learn More, Call Now, Send Message.</w:t>
      </w:r>
    </w:p>
    <w:p>
      <w:pPr>
        <w:pBdr>
          <w:bottom w:val="single" w:sz="6" w:space="1" w:color="C0C8D0"/>
        </w:pBdr>
        <w:spacing w:after="160"/>
      </w:pPr>
    </w:p>
    <w:p>
      <w:pPr>
        <w:pStyle w:val="Heading3"/>
      </w:pPr>
      <w:r>
        <w:t>Tier 1: Front-End Loss Leaders</w:t>
      </w:r>
    </w:p>
    <w:p>
      <w:pPr>
        <w:spacing w:after="120"/>
      </w:pPr>
      <w:r>
        <w:rPr>
          <w:b/>
        </w:rPr>
        <w:t>Angle 1: Free Foundation Inspection or Evaluation</w:t>
      </w:r>
    </w:p>
    <w:p>
      <w:pPr>
        <w:spacing w:before="80" w:after="40"/>
        <w:ind w:left="576"/>
        <w:pBdr>
          <w:left w:val="single" w:sz="18" w:space="8" w:color="BFC8D1"/>
        </w:pBdr>
      </w:pPr>
      <w:r>
        <w:rPr>
          <w:i/>
          <w:color w:val="445566"/>
        </w:rPr>
        <w:t>“Foundation Problems? Don't Wait. Free Evaluation.”</w:t>
      </w:r>
    </w:p>
    <w:p>
      <w:pPr>
        <w:spacing w:before="0" w:after="160"/>
        <w:ind w:left="576"/>
      </w:pPr>
      <w:r>
        <w:rPr>
          <w:i/>
          <w:color w:val="667788"/>
          <w:sz w:val="18"/>
        </w:rPr>
        <w:t>— Olshan Foundation Repair, Facebook/Instagram, active since June 2026</w:t>
      </w:r>
    </w:p>
    <w:p>
      <w:pPr>
        <w:spacing w:before="80" w:after="40"/>
        <w:ind w:left="576"/>
        <w:pBdr>
          <w:left w:val="single" w:sz="18" w:space="8" w:color="BFC8D1"/>
        </w:pBdr>
      </w:pPr>
      <w:r>
        <w:rPr>
          <w:i/>
          <w:color w:val="445566"/>
        </w:rPr>
        <w:t>“Free inspection, no obligation. Swipe to see how we can help.”</w:t>
      </w:r>
    </w:p>
    <w:p>
      <w:pPr>
        <w:spacing w:before="0" w:after="160"/>
        <w:ind w:left="576"/>
      </w:pPr>
      <w:r>
        <w:rPr>
          <w:i/>
          <w:color w:val="667788"/>
          <w:sz w:val="18"/>
        </w:rPr>
        <w:t>— The Crack Guys (Alabama and Tennessee), active since August 2026</w:t>
      </w:r>
    </w:p>
    <w:p>
      <w:pPr>
        <w:spacing w:after="120"/>
      </w:pPr>
      <w:r>
        <w:rPr>
          <w:b/>
        </w:rPr>
        <w:t>Why it works:</w:t>
      </w:r>
      <w:r>
        <w:t xml:space="preserve"> Foundation work carries a large, unknown price tag, so the first ask has to cost the homeowner nothing. A free inspection turns a vague worry (a crack, a sticking door) into a scheduled appointment, which is the true conversion point in this niche.</w:t>
      </w:r>
    </w:p>
    <w:p>
      <w:pPr>
        <w:spacing w:after="120"/>
      </w:pPr>
      <w:r>
        <w:rPr>
          <w:b/>
        </w:rPr>
        <w:t>Common variations:</w:t>
      </w:r>
      <w:r>
        <w:t xml:space="preserve"> Free evaluation, free estimate, free inspection with written report, free inspection credited toward the job.</w:t>
      </w:r>
    </w:p>
    <w:p>
      <w:pPr>
        <w:spacing w:after="120"/>
      </w:pPr>
      <w:r>
        <w:rPr>
          <w:b/>
        </w:rPr>
        <w:t>Best for:</w:t>
      </w:r>
      <w:r>
        <w:t xml:space="preserve"> Cold audiences who have noticed a symptom but have not called anyone yet. It is the default front door in nearly every captured ad.</w:t>
      </w:r>
    </w:p>
    <w:p>
      <w:pPr>
        <w:spacing w:after="120"/>
      </w:pPr>
      <w:r>
        <w:rPr>
          <w:b/>
        </w:rPr>
        <w:t>Angle 2: Concrete Lifting as the Entry Service</w:t>
      </w:r>
    </w:p>
    <w:p>
      <w:pPr>
        <w:spacing w:before="80" w:after="40"/>
        <w:ind w:left="576"/>
        <w:pBdr>
          <w:left w:val="single" w:sz="18" w:space="8" w:color="BFC8D1"/>
        </w:pBdr>
      </w:pPr>
      <w:r>
        <w:rPr>
          <w:i/>
          <w:color w:val="445566"/>
        </w:rPr>
        <w:t>“Sinking Concrete? Lift It Fast Without Replacing It. Driveways, sidewalks, patios.”</w:t>
      </w:r>
    </w:p>
    <w:p>
      <w:pPr>
        <w:spacing w:before="0" w:after="160"/>
        <w:ind w:left="576"/>
      </w:pPr>
      <w:r>
        <w:rPr>
          <w:i/>
          <w:color w:val="667788"/>
          <w:sz w:val="18"/>
        </w:rPr>
        <w:t>— Olshan Foundation Repair (Polylift), active since June 2026</w:t>
      </w:r>
    </w:p>
    <w:p>
      <w:pPr>
        <w:spacing w:before="80" w:after="40"/>
        <w:ind w:left="576"/>
        <w:pBdr>
          <w:left w:val="single" w:sz="18" w:space="8" w:color="BFC8D1"/>
        </w:pBdr>
      </w:pPr>
      <w:r>
        <w:rPr>
          <w:i/>
          <w:color w:val="445566"/>
        </w:rPr>
        <w:t>“Is Your Driveway or Patio Uneven? Get a level surface in minutes with Olshan's gentle lift and leveling service.”</w:t>
      </w:r>
    </w:p>
    <w:p>
      <w:pPr>
        <w:spacing w:before="0" w:after="160"/>
        <w:ind w:left="576"/>
      </w:pPr>
      <w:r>
        <w:rPr>
          <w:i/>
          <w:color w:val="667788"/>
          <w:sz w:val="18"/>
        </w:rPr>
        <w:t>— Olshan Foundation Repair, active since June 2026</w:t>
      </w:r>
    </w:p>
    <w:p>
      <w:pPr>
        <w:spacing w:after="120"/>
      </w:pPr>
      <w:r>
        <w:rPr>
          <w:b/>
        </w:rPr>
        <w:t>Why it works:</w:t>
      </w:r>
      <w:r>
        <w:t xml:space="preserve"> Slab and concrete leveling is a lower-ticket ($500 to $1,500 per location), fast, highly visual job. It brings homeowners into the operator's pipeline at a lower commitment level, and the on-site visit often surfaces foundation symptoms worth a full inspection.</w:t>
      </w:r>
    </w:p>
    <w:p>
      <w:pPr>
        <w:spacing w:after="120"/>
      </w:pPr>
      <w:r>
        <w:rPr>
          <w:b/>
        </w:rPr>
        <w:t>Common variations:</w:t>
      </w:r>
      <w:r>
        <w:t xml:space="preserve"> Driveway and patio leveling, pool deck lift, garage slab lift, "lift in hours, not days."</w:t>
      </w:r>
    </w:p>
    <w:p>
      <w:pPr>
        <w:spacing w:after="120"/>
      </w:pPr>
      <w:r>
        <w:rPr>
          <w:b/>
        </w:rPr>
        <w:t>Best for:</w:t>
      </w:r>
      <w:r>
        <w:t xml:space="preserve"> Neighborhoods with visible slab settlement, and operators who own poly-foam or mudjacking equipment and want a steady flow of smaller jobs between pier projects.</w:t>
      </w:r>
    </w:p>
    <w:p>
      <w:pPr>
        <w:spacing w:after="120"/>
      </w:pPr>
      <w:r>
        <w:rPr>
          <w:b/>
        </w:rPr>
        <w:t>Angle 3: Seniors and Veterans Discount</w:t>
      </w:r>
    </w:p>
    <w:p>
      <w:pPr>
        <w:spacing w:before="80" w:after="40"/>
        <w:ind w:left="576"/>
        <w:pBdr>
          <w:left w:val="single" w:sz="18" w:space="8" w:color="BFC8D1"/>
        </w:pBdr>
      </w:pPr>
      <w:r>
        <w:rPr>
          <w:i/>
          <w:color w:val="445566"/>
        </w:rPr>
        <w:t>“10% OFF for Seniors &amp; Veterans. Free Estimates. Licensed &amp; Insured.”</w:t>
      </w:r>
    </w:p>
    <w:p>
      <w:pPr>
        <w:spacing w:before="0" w:after="160"/>
        <w:ind w:left="576"/>
      </w:pPr>
      <w:r>
        <w:rPr>
          <w:i/>
          <w:color w:val="667788"/>
          <w:sz w:val="18"/>
        </w:rPr>
        <w:t>— Cornerstone Foundation Crack Repair LLC (Massachusetts), active since September 2026</w:t>
      </w:r>
    </w:p>
    <w:p>
      <w:pPr>
        <w:spacing w:after="120"/>
      </w:pPr>
      <w:r>
        <w:rPr>
          <w:b/>
        </w:rPr>
        <w:t>Why it works:</w:t>
      </w:r>
      <w:r>
        <w:t xml:space="preserve"> The core homeowner audience for foundation work skews 50 and older, and a group-specific discount reads as respect rather than a sales gimmick. It also gives the ad a concrete reason to act now without cutting the headline price for everyone.</w:t>
      </w:r>
    </w:p>
    <w:p>
      <w:pPr>
        <w:spacing w:after="120"/>
      </w:pPr>
      <w:r>
        <w:rPr>
          <w:b/>
        </w:rPr>
        <w:t>Common variations:</w:t>
      </w:r>
      <w:r>
        <w:t xml:space="preserve"> Military and first responder discount, senior discount, percentage off piers, fixed dollar amount off jobs over a threshold.</w:t>
      </w:r>
    </w:p>
    <w:p>
      <w:pPr>
        <w:spacing w:after="120"/>
      </w:pPr>
      <w:r>
        <w:rPr>
          <w:b/>
        </w:rPr>
        <w:t>Best for:</w:t>
      </w:r>
      <w:r>
        <w:t xml:space="preserve"> Older housing markets with a high share of long-tenure homeowners, and as a secondary line in free-inspection ads.</w:t>
      </w:r>
    </w:p>
    <w:p>
      <w:pPr>
        <w:pBdr>
          <w:bottom w:val="single" w:sz="6" w:space="1" w:color="C0C8D0"/>
        </w:pBdr>
        <w:spacing w:after="160"/>
      </w:pPr>
    </w:p>
    <w:p>
      <w:pPr>
        <w:pStyle w:val="Heading3"/>
      </w:pPr>
      <w:r>
        <w:t>Tier 2: Trust and Transparency</w:t>
      </w:r>
    </w:p>
    <w:p>
      <w:pPr>
        <w:spacing w:after="120"/>
      </w:pPr>
      <w:r>
        <w:rPr>
          <w:b/>
        </w:rPr>
        <w:t>Angle 4: Free Quote with Written Report</w:t>
      </w:r>
    </w:p>
    <w:p>
      <w:pPr>
        <w:spacing w:before="80" w:after="40"/>
        <w:ind w:left="576"/>
        <w:pBdr>
          <w:left w:val="single" w:sz="18" w:space="8" w:color="BFC8D1"/>
        </w:pBdr>
      </w:pPr>
      <w:r>
        <w:rPr>
          <w:i/>
          <w:color w:val="445566"/>
        </w:rPr>
        <w:t>“Cornerstone Foundation Crack Repair provides expert foundation services including crack repair, stone repointing, sump pump installation, and lally column replacement. We deliver quality work, honest pricing. We're licensed and insured. HIC #219077”</w:t>
      </w:r>
    </w:p>
    <w:p>
      <w:pPr>
        <w:spacing w:before="0" w:after="160"/>
        <w:ind w:left="576"/>
      </w:pPr>
      <w:r>
        <w:rPr>
          <w:i/>
          <w:color w:val="667788"/>
          <w:sz w:val="18"/>
        </w:rPr>
        <w:t>— Cornerstone Foundation Crack Repair LLC, active since September 2026</w:t>
      </w:r>
    </w:p>
    <w:p>
      <w:pPr>
        <w:spacing w:after="120"/>
      </w:pPr>
      <w:r>
        <w:rPr>
          <w:b/>
        </w:rPr>
        <w:t>Why it works:</w:t>
      </w:r>
      <w:r>
        <w:t xml:space="preserve"> Homeowners fear being sold an oversized repair. Publishing a license number, a service list, and "honest pricing" in the ad text answers that fear before the first call. A written report gives the homeowner something to compare and share with a spouse or realtor.</w:t>
      </w:r>
    </w:p>
    <w:p>
      <w:pPr>
        <w:spacing w:after="120"/>
      </w:pPr>
      <w:r>
        <w:rPr>
          <w:b/>
        </w:rPr>
        <w:t>Common variations:</w:t>
      </w:r>
      <w:r>
        <w:t xml:space="preserve"> License number in copy, "engineer-style assessment," photo report emailed after the visit, second-opinion inspection.</w:t>
      </w:r>
    </w:p>
    <w:p>
      <w:pPr>
        <w:spacing w:after="120"/>
      </w:pPr>
      <w:r>
        <w:rPr>
          <w:b/>
        </w:rPr>
        <w:t>Best for:</w:t>
      </w:r>
      <w:r>
        <w:t xml:space="preserve"> Markets with heavy national-brand presence, where independents differentiate on transparency.</w:t>
      </w:r>
    </w:p>
    <w:p>
      <w:pPr>
        <w:spacing w:after="120"/>
      </w:pPr>
      <w:r>
        <w:rPr>
          <w:b/>
        </w:rPr>
        <w:t>Angle 5: Cost-of-Waiting (ROI) Framing</w:t>
      </w:r>
    </w:p>
    <w:p>
      <w:pPr>
        <w:spacing w:before="80" w:after="40"/>
        <w:ind w:left="576"/>
        <w:pBdr>
          <w:left w:val="single" w:sz="18" w:space="8" w:color="BFC8D1"/>
        </w:pBdr>
      </w:pPr>
      <w:r>
        <w:rPr>
          <w:i/>
          <w:color w:val="445566"/>
        </w:rPr>
        <w:t>“Foundation issues don't fix themselves. They get more expensive. The good news? Most can be handled early.”</w:t>
      </w:r>
    </w:p>
    <w:p>
      <w:pPr>
        <w:spacing w:before="0" w:after="160"/>
        <w:ind w:left="576"/>
      </w:pPr>
      <w:r>
        <w:rPr>
          <w:i/>
          <w:color w:val="667788"/>
          <w:sz w:val="18"/>
        </w:rPr>
        <w:t>— Olshan Foundation Repair, active since June 2026</w:t>
      </w:r>
    </w:p>
    <w:p>
      <w:pPr>
        <w:spacing w:before="80" w:after="40"/>
        <w:ind w:left="576"/>
        <w:pBdr>
          <w:left w:val="single" w:sz="18" w:space="8" w:color="BFC8D1"/>
        </w:pBdr>
      </w:pPr>
      <w:r>
        <w:rPr>
          <w:i/>
          <w:color w:val="445566"/>
        </w:rPr>
        <w:t>“Still putting off that home repair? You're not alone. Most homeowners wait, and the problem only gets worse every season.”</w:t>
      </w:r>
    </w:p>
    <w:p>
      <w:pPr>
        <w:spacing w:before="0" w:after="160"/>
        <w:ind w:left="576"/>
      </w:pPr>
      <w:r>
        <w:rPr>
          <w:i/>
          <w:color w:val="667788"/>
          <w:sz w:val="18"/>
        </w:rPr>
        <w:t>— The Crack Guys, active since August 2026</w:t>
      </w:r>
    </w:p>
    <w:p>
      <w:pPr>
        <w:spacing w:after="120"/>
      </w:pPr>
      <w:r>
        <w:rPr>
          <w:b/>
        </w:rPr>
        <w:t>Why it works:</w:t>
      </w:r>
      <w:r>
        <w:t xml:space="preserve"> Delay is the biggest competitor in foundation repair, not other contractors. Framing early action as the cheaper path turns procrastination into a financial decision and normalizes the homeowner's hesitation ("you're not alone") instead of shaming it.</w:t>
      </w:r>
    </w:p>
    <w:p>
      <w:pPr>
        <w:spacing w:after="120"/>
      </w:pPr>
      <w:r>
        <w:rPr>
          <w:b/>
        </w:rPr>
        <w:t>Common variations:</w:t>
      </w:r>
      <w:r>
        <w:t xml:space="preserve"> "Small crack today, big repair tomorrow," cost comparison of early versus late repair, seasonal worsening.</w:t>
      </w:r>
    </w:p>
    <w:p>
      <w:pPr>
        <w:spacing w:after="120"/>
      </w:pPr>
      <w:r>
        <w:rPr>
          <w:b/>
        </w:rPr>
        <w:t>Best for:</w:t>
      </w:r>
      <w:r>
        <w:t xml:space="preserve"> Retargeting audiences who viewed a video or opened a form but did not book.</w:t>
      </w:r>
    </w:p>
    <w:p>
      <w:pPr>
        <w:spacing w:after="120"/>
      </w:pPr>
      <w:r>
        <w:rPr>
          <w:b/>
        </w:rPr>
        <w:t>Angle 6: Service-First, Anti-Sales Positioning</w:t>
      </w:r>
    </w:p>
    <w:p>
      <w:pPr>
        <w:spacing w:before="80" w:after="40"/>
        <w:ind w:left="576"/>
        <w:pBdr>
          <w:left w:val="single" w:sz="18" w:space="8" w:color="BFC8D1"/>
        </w:pBdr>
      </w:pPr>
      <w:r>
        <w:rPr>
          <w:i/>
          <w:color w:val="445566"/>
        </w:rPr>
        <w:t>“"Servir no competir." (Serve, not compete.)”</w:t>
      </w:r>
    </w:p>
    <w:p>
      <w:pPr>
        <w:spacing w:before="0" w:after="160"/>
        <w:ind w:left="576"/>
      </w:pPr>
      <w:r>
        <w:rPr>
          <w:i/>
          <w:color w:val="667788"/>
          <w:sz w:val="18"/>
        </w:rPr>
        <w:t>— "Foundation repair" page, Spanish-language tagline, active since August 2023</w:t>
      </w:r>
    </w:p>
    <w:p>
      <w:pPr>
        <w:spacing w:after="120"/>
      </w:pPr>
      <w:r>
        <w:rPr>
          <w:b/>
        </w:rPr>
        <w:t>Why it works:</w:t>
      </w:r>
      <w:r>
        <w:t xml:space="preserve"> A short promise of service over salesmanship positions a small operator against high-pressure national sales teams. This advertiser has kept the same tagline and real job-site photos running for about three years, a strong signal that the approach holds up.</w:t>
      </w:r>
    </w:p>
    <w:p>
      <w:pPr>
        <w:spacing w:after="120"/>
      </w:pPr>
      <w:r>
        <w:rPr>
          <w:b/>
        </w:rPr>
        <w:t>Common variations:</w:t>
      </w:r>
      <w:r>
        <w:t xml:space="preserve"> "No pressure, no gimmicks," "the owner does your inspection," "we'll tell you if you don't need us."</w:t>
      </w:r>
    </w:p>
    <w:p>
      <w:pPr>
        <w:spacing w:after="120"/>
      </w:pPr>
      <w:r>
        <w:rPr>
          <w:b/>
        </w:rPr>
        <w:t>Best for:</w:t>
      </w:r>
      <w:r>
        <w:t xml:space="preserve"> Independents competing with large regional brands, and Spanish-speaking audiences where a bilingual message stands out.</w:t>
      </w:r>
    </w:p>
    <w:p>
      <w:pPr>
        <w:pBdr>
          <w:bottom w:val="single" w:sz="6" w:space="1" w:color="C0C8D0"/>
        </w:pBdr>
        <w:spacing w:after="160"/>
      </w:pPr>
    </w:p>
    <w:p>
      <w:pPr>
        <w:pStyle w:val="Heading3"/>
      </w:pPr>
      <w:r>
        <w:t>Tier 3: Hook Angles</w:t>
      </w:r>
    </w:p>
    <w:p>
      <w:pPr>
        <w:spacing w:after="120"/>
      </w:pPr>
      <w:r>
        <w:rPr>
          <w:b/>
        </w:rPr>
        <w:t>Angle 7: Founder Voice and Real Job-Site Proof</w:t>
      </w:r>
    </w:p>
    <w:p>
      <w:pPr>
        <w:spacing w:before="80" w:after="40"/>
        <w:ind w:left="576"/>
        <w:pBdr>
          <w:left w:val="single" w:sz="18" w:space="8" w:color="BFC8D1"/>
        </w:pBdr>
      </w:pPr>
      <w:r>
        <w:rPr>
          <w:i/>
          <w:color w:val="445566"/>
        </w:rPr>
        <w:t>“Raw photos of hydraulic jacks under concrete footings, excavated pier holes, and rotted sill plates, with a "Send Message" button.”</w:t>
      </w:r>
    </w:p>
    <w:p>
      <w:pPr>
        <w:spacing w:before="0" w:after="160"/>
        <w:ind w:left="576"/>
      </w:pPr>
      <w:r>
        <w:rPr>
          <w:i/>
          <w:color w:val="667788"/>
          <w:sz w:val="18"/>
        </w:rPr>
        <w:t>— "Foundation repair" page, active since August 2023</w:t>
      </w:r>
    </w:p>
    <w:p>
      <w:pPr>
        <w:spacing w:after="120"/>
      </w:pPr>
      <w:r>
        <w:rPr>
          <w:b/>
        </w:rPr>
        <w:t>Why it works:</w:t>
      </w:r>
      <w:r>
        <w:t xml:space="preserve"> Unpolished photos of actual work read as authentic in the feed, and they show the homeowner exactly what a pier or footing repair looks like. Owner-on-camera video and real crew photos let a small shop compete on trust with brands that spend far more on production.</w:t>
      </w:r>
    </w:p>
    <w:p>
      <w:pPr>
        <w:spacing w:after="120"/>
      </w:pPr>
      <w:r>
        <w:rPr>
          <w:b/>
        </w:rPr>
        <w:t>Common variations:</w:t>
      </w:r>
      <w:r>
        <w:t xml:space="preserve"> Owner walkthrough video, crew-on-site photo series, time-lapse of a pier install, "meet the owner" intro.</w:t>
      </w:r>
    </w:p>
    <w:p>
      <w:pPr>
        <w:spacing w:after="120"/>
      </w:pPr>
      <w:r>
        <w:rPr>
          <w:b/>
        </w:rPr>
        <w:t>Best for:</w:t>
      </w:r>
      <w:r>
        <w:t xml:space="preserve"> 1 to 4 truck operators where the owner is the brand. Pairs well with Messenger or call-now buttons.</w:t>
      </w:r>
    </w:p>
    <w:p>
      <w:pPr>
        <w:spacing w:after="120"/>
      </w:pPr>
      <w:r>
        <w:rPr>
          <w:b/>
        </w:rPr>
        <w:t>Angle 8: Pain-Aware Symptom Diagnostic</w:t>
      </w:r>
    </w:p>
    <w:p>
      <w:pPr>
        <w:spacing w:before="80" w:after="40"/>
        <w:ind w:left="576"/>
        <w:pBdr>
          <w:left w:val="single" w:sz="18" w:space="8" w:color="BFC8D1"/>
        </w:pBdr>
      </w:pPr>
      <w:r>
        <w:rPr>
          <w:i/>
          <w:color w:val="445566"/>
        </w:rPr>
        <w:t>“Your brick cracks may be telling you something. Foundation movement can show up as stair-step cracks in brick, drywall cracks, sticking doors, and uneven floors.”</w:t>
      </w:r>
    </w:p>
    <w:p>
      <w:pPr>
        <w:spacing w:before="0" w:after="160"/>
        <w:ind w:left="576"/>
      </w:pPr>
      <w:r>
        <w:rPr>
          <w:i/>
          <w:color w:val="667788"/>
          <w:sz w:val="18"/>
        </w:rPr>
        <w:t>— Olshan Foundation Repair, active since June 2026</w:t>
      </w:r>
    </w:p>
    <w:p>
      <w:pPr>
        <w:spacing w:before="80" w:after="40"/>
        <w:ind w:left="576"/>
        <w:pBdr>
          <w:left w:val="single" w:sz="18" w:space="8" w:color="BFC8D1"/>
        </w:pBdr>
      </w:pPr>
      <w:r>
        <w:rPr>
          <w:i/>
          <w:color w:val="445566"/>
        </w:rPr>
        <w:t>“Cracked Brick? Get a Free... Sinking slabs, sticking doors...”</w:t>
      </w:r>
    </w:p>
    <w:p>
      <w:pPr>
        <w:spacing w:before="0" w:after="160"/>
        <w:ind w:left="576"/>
      </w:pPr>
      <w:r>
        <w:rPr>
          <w:i/>
          <w:color w:val="667788"/>
          <w:sz w:val="18"/>
        </w:rPr>
        <w:t>— The Crack Guys, active since August 2026</w:t>
      </w:r>
    </w:p>
    <w:p>
      <w:pPr>
        <w:spacing w:after="120"/>
      </w:pPr>
      <w:r>
        <w:rPr>
          <w:b/>
        </w:rPr>
        <w:t>Why it works:</w:t>
      </w:r>
      <w:r>
        <w:t xml:space="preserve"> Most homeowners have seen a symptom but do not connect it to the foundation. Naming specific symptoms lets the reader self-diagnose in the feed, which is how Facebook creates demand before the homeowner ever searches Google.</w:t>
      </w:r>
    </w:p>
    <w:p>
      <w:pPr>
        <w:spacing w:after="120"/>
      </w:pPr>
      <w:r>
        <w:rPr>
          <w:b/>
        </w:rPr>
        <w:t>Common variations:</w:t>
      </w:r>
      <w:r>
        <w:t xml:space="preserve"> "Do you have any of these 5 signs?", symptom checklist carousel, close-up crack photo with "Is this serious?", sticking-door video.</w:t>
      </w:r>
    </w:p>
    <w:p>
      <w:pPr>
        <w:spacing w:after="120"/>
      </w:pPr>
      <w:r>
        <w:rPr>
          <w:b/>
        </w:rPr>
        <w:t>Best for:</w:t>
      </w:r>
      <w:r>
        <w:t xml:space="preserve"> Cold audiences in clay-soil and older-housing zip codes. It is the strongest top-of-funnel hook in the captured set.</w:t>
      </w:r>
    </w:p>
    <w:p>
      <w:pPr>
        <w:pBdr>
          <w:bottom w:val="single" w:sz="6" w:space="1" w:color="C0C8D0"/>
        </w:pBdr>
        <w:spacing w:after="160"/>
      </w:pPr>
    </w:p>
    <w:p>
      <w:pPr>
        <w:pStyle w:val="Heading3"/>
      </w:pPr>
      <w:r>
        <w:t>Tier 4: Scale-Stage Angles</w:t>
      </w:r>
    </w:p>
    <w:p>
      <w:pPr>
        <w:spacing w:after="120"/>
      </w:pPr>
      <w:r>
        <w:rPr>
          <w:b/>
        </w:rPr>
        <w:t>Angle 9: Monthly Payment Financing</w:t>
      </w:r>
    </w:p>
    <w:p>
      <w:pPr>
        <w:spacing w:before="80" w:after="40"/>
        <w:ind w:left="576"/>
        <w:pBdr>
          <w:left w:val="single" w:sz="18" w:space="8" w:color="BFC8D1"/>
        </w:pBdr>
      </w:pPr>
      <w:r>
        <w:rPr>
          <w:i/>
          <w:color w:val="445566"/>
        </w:rPr>
        <w:t>“Solutions available around $125/month. Trusted for over 90 years with warranty-backed work.”</w:t>
      </w:r>
    </w:p>
    <w:p>
      <w:pPr>
        <w:spacing w:before="0" w:after="160"/>
        <w:ind w:left="576"/>
      </w:pPr>
      <w:r>
        <w:rPr>
          <w:i/>
          <w:color w:val="667788"/>
          <w:sz w:val="18"/>
        </w:rPr>
        <w:t>— Olshan Foundation Repair, active since June 2026 (headline: "$125/Month Foundation Repair")</w:t>
      </w:r>
    </w:p>
    <w:p>
      <w:pPr>
        <w:spacing w:after="120"/>
      </w:pPr>
      <w:r>
        <w:rPr>
          <w:b/>
        </w:rPr>
        <w:t>Why it works:</w:t>
      </w:r>
      <w:r>
        <w:t xml:space="preserve"> A $6K to $16K pier job is a shock as a lump sum but manageable as a monthly payment. Putting the monthly number in the headline removes the biggest objection before the inspection.</w:t>
      </w:r>
    </w:p>
    <w:p>
      <w:pPr>
        <w:spacing w:after="120"/>
      </w:pPr>
      <w:r>
        <w:rPr>
          <w:b/>
        </w:rPr>
        <w:t>Common variations:</w:t>
      </w:r>
      <w:r>
        <w:t xml:space="preserve"> "$0 down," "0% for 12 months," "from $X/month," financing pre-qualification in the lead form.</w:t>
      </w:r>
    </w:p>
    <w:p>
      <w:pPr>
        <w:spacing w:after="120"/>
      </w:pPr>
      <w:r>
        <w:rPr>
          <w:b/>
        </w:rPr>
        <w:t>Best for:</w:t>
      </w:r>
      <w:r>
        <w:t xml:space="preserve"> Operators with a financing partner, and audiences that have already received a quote (retargeting).</w:t>
      </w:r>
    </w:p>
    <w:p>
      <w:pPr>
        <w:spacing w:after="120"/>
      </w:pPr>
      <w:r>
        <w:rPr>
          <w:b/>
        </w:rPr>
        <w:t>Angle 10: Drainage and Standing Water</w:t>
      </w:r>
    </w:p>
    <w:p>
      <w:pPr>
        <w:spacing w:before="80" w:after="40"/>
        <w:ind w:left="576"/>
        <w:pBdr>
          <w:left w:val="single" w:sz="18" w:space="8" w:color="BFC8D1"/>
        </w:pBdr>
      </w:pPr>
      <w:r>
        <w:rPr>
          <w:i/>
          <w:color w:val="445566"/>
        </w:rPr>
        <w:t>“Warning: Standing Water Near Your Home? Don't wait for water damage! Olshan's trusted drainage solutions keep your home protected.”</w:t>
      </w:r>
    </w:p>
    <w:p>
      <w:pPr>
        <w:spacing w:before="0" w:after="160"/>
        <w:ind w:left="576"/>
      </w:pPr>
      <w:r>
        <w:rPr>
          <w:i/>
          <w:color w:val="667788"/>
          <w:sz w:val="18"/>
        </w:rPr>
        <w:t>— Olshan Foundation Repair, active since June 2026 (creative: "Seal Out Water. Protect Your Basement.")</w:t>
      </w:r>
    </w:p>
    <w:p>
      <w:pPr>
        <w:spacing w:after="120"/>
      </w:pPr>
      <w:r>
        <w:rPr>
          <w:b/>
        </w:rPr>
        <w:t>Why it works:</w:t>
      </w:r>
      <w:r>
        <w:t xml:space="preserve"> Poor drainage is a leading cause of foundation movement and is easy to spot after a rain. It opens a second service line (French drains, grading, gutters, waterproofing) and gives the operator a reason to advertise in wet seasons.</w:t>
      </w:r>
    </w:p>
    <w:p>
      <w:pPr>
        <w:spacing w:after="120"/>
      </w:pPr>
      <w:r>
        <w:rPr>
          <w:b/>
        </w:rPr>
        <w:t>Common variations:</w:t>
      </w:r>
      <w:r>
        <w:t xml:space="preserve"> Post-storm "check your yard," basement waterproofing, gutter and downspout extension, crawl space moisture.</w:t>
      </w:r>
    </w:p>
    <w:p>
      <w:pPr>
        <w:spacing w:after="120"/>
      </w:pPr>
      <w:r>
        <w:rPr>
          <w:b/>
        </w:rPr>
        <w:t>Best for:</w:t>
      </w:r>
      <w:r>
        <w:t xml:space="preserve"> Wet-season pushes and markets with high water tables or heavy spring rain.</w:t>
      </w:r>
    </w:p>
    <w:p>
      <w:pPr>
        <w:spacing w:after="120"/>
      </w:pPr>
      <w:r>
        <w:rPr>
          <w:b/>
        </w:rPr>
        <w:t>Angle 11: Crawl Space and Basement Bundle</w:t>
      </w:r>
    </w:p>
    <w:p>
      <w:pPr>
        <w:spacing w:before="80" w:after="40"/>
        <w:ind w:left="576"/>
        <w:pBdr>
          <w:left w:val="single" w:sz="18" w:space="8" w:color="BFC8D1"/>
        </w:pBdr>
      </w:pPr>
      <w:r>
        <w:rPr>
          <w:i/>
          <w:color w:val="445566"/>
        </w:rPr>
        <w:t>“The Crack Guys fix foundation, crawl space, concrete, and basement problems across Alabama and Tennessee. 4.9 stars, 1,066+ reviews.”</w:t>
      </w:r>
    </w:p>
    <w:p>
      <w:pPr>
        <w:spacing w:before="0" w:after="160"/>
        <w:ind w:left="576"/>
      </w:pPr>
      <w:r>
        <w:rPr>
          <w:i/>
          <w:color w:val="667788"/>
          <w:sz w:val="18"/>
        </w:rPr>
        <w:t>— The Crack Guys, active since August 2026 (carousel: "Cracked Brick" and "Crawlspace Repair" before/after cards)</w:t>
      </w:r>
    </w:p>
    <w:p>
      <w:pPr>
        <w:spacing w:after="120"/>
      </w:pPr>
      <w:r>
        <w:rPr>
          <w:b/>
        </w:rPr>
        <w:t>Why it works:</w:t>
      </w:r>
      <w:r>
        <w:t xml:space="preserve"> Bundling adjacent below-grade problems widens the audience without diluting the foundation message. A damp, sagging crawl space is a common pier-and-beam symptom, so the bundle reaches homeowners who would not describe their problem as "foundation."</w:t>
      </w:r>
    </w:p>
    <w:p>
      <w:pPr>
        <w:spacing w:after="120"/>
      </w:pPr>
      <w:r>
        <w:rPr>
          <w:b/>
        </w:rPr>
        <w:t>Common variations:</w:t>
      </w:r>
      <w:r>
        <w:t xml:space="preserve"> Crawl space encapsulation, sagging floor joists, basement wall bracing, sump pumps.</w:t>
      </w:r>
    </w:p>
    <w:p>
      <w:pPr>
        <w:spacing w:after="120"/>
      </w:pPr>
      <w:r>
        <w:rPr>
          <w:b/>
        </w:rPr>
        <w:t>Best for:</w:t>
      </w:r>
      <w:r>
        <w:t xml:space="preserve"> Pier-and-beam and crawl space regions (Southeast, Texas, mid-South) and operators who already offer these services.</w:t>
      </w:r>
    </w:p>
    <w:p>
      <w:pPr>
        <w:spacing w:after="120"/>
      </w:pPr>
      <w:r>
        <w:rPr>
          <w:b/>
        </w:rPr>
        <w:t>Angle 12: Before and After Project Carousels</w:t>
      </w:r>
    </w:p>
    <w:p>
      <w:pPr>
        <w:spacing w:before="80" w:after="40"/>
        <w:ind w:left="576"/>
        <w:pBdr>
          <w:left w:val="single" w:sz="18" w:space="8" w:color="BFC8D1"/>
        </w:pBdr>
      </w:pPr>
      <w:r>
        <w:rPr>
          <w:i/>
          <w:color w:val="445566"/>
        </w:rPr>
        <w:t>“Carousel cards labeled "Cracked Brick: Real Project, Real Results. Before / After. Repaired, Stabilized, Restored," each with a free inspection badge and a local phone number.”</w:t>
      </w:r>
    </w:p>
    <w:p>
      <w:pPr>
        <w:spacing w:before="0" w:after="160"/>
        <w:ind w:left="576"/>
      </w:pPr>
      <w:r>
        <w:rPr>
          <w:i/>
          <w:color w:val="667788"/>
          <w:sz w:val="18"/>
        </w:rPr>
        <w:t>— The Crack Guys, active since August 2026</w:t>
      </w:r>
    </w:p>
    <w:p>
      <w:pPr>
        <w:spacing w:after="120"/>
      </w:pPr>
      <w:r>
        <w:rPr>
          <w:b/>
        </w:rPr>
        <w:t>Why it works:</w:t>
      </w:r>
      <w:r>
        <w:t xml:space="preserve"> Before and after images prove the result in one glance and work well in Facebook's carousel format. Running the same creative with a different local phone number per metro shows how one proven design scales across markets.</w:t>
      </w:r>
    </w:p>
    <w:p>
      <w:pPr>
        <w:spacing w:after="120"/>
      </w:pPr>
      <w:r>
        <w:rPr>
          <w:b/>
        </w:rPr>
        <w:t>Common variations:</w:t>
      </w:r>
      <w:r>
        <w:t xml:space="preserve"> Single before/after image, slider video, project-of-the-week post, neighborhood-named projects.</w:t>
      </w:r>
    </w:p>
    <w:p>
      <w:pPr>
        <w:spacing w:after="120"/>
      </w:pPr>
      <w:r>
        <w:rPr>
          <w:b/>
        </w:rPr>
        <w:t>Best for:</w:t>
      </w:r>
      <w:r>
        <w:t xml:space="preserve"> Scaling a proven ad into new metros, and retargeting audiences who engaged with symptom ads.</w:t>
      </w:r>
    </w:p>
    <w:p>
      <w:pPr>
        <w:spacing w:after="120"/>
      </w:pPr>
      <w:r>
        <w:rPr>
          <w:b/>
        </w:rPr>
        <w:t>Angle 13: Seasonal Soil Movement</w:t>
      </w:r>
    </w:p>
    <w:p>
      <w:pPr>
        <w:spacing w:before="80" w:after="40"/>
        <w:ind w:left="576"/>
        <w:pBdr>
          <w:left w:val="single" w:sz="18" w:space="8" w:color="BFC8D1"/>
        </w:pBdr>
      </w:pPr>
      <w:r>
        <w:rPr>
          <w:i/>
          <w:color w:val="445566"/>
        </w:rPr>
        <w:t>“Industry-standard angle (not observed in the captured set): "Drought season is when foundations move. Dry clay soil shrinks and pulls away from the slab. Book a free inspection before the cracks spread."”</w:t>
      </w:r>
    </w:p>
    <w:p>
      <w:pPr>
        <w:spacing w:after="120"/>
      </w:pPr>
      <w:r>
        <w:rPr>
          <w:b/>
        </w:rPr>
        <w:t>Why it works:</w:t>
      </w:r>
      <w:r>
        <w:t xml:space="preserve"> Expansive clay soils shrink in drought and swell in wet periods, and freeze-thaw cycles affect northern markets. Tying the ad to the current weather gives the homeowner a timely reason to act and lets the campaign pace spend with the season.</w:t>
      </w:r>
    </w:p>
    <w:p>
      <w:pPr>
        <w:spacing w:after="120"/>
      </w:pPr>
      <w:r>
        <w:rPr>
          <w:b/>
        </w:rPr>
        <w:t>Common variations:</w:t>
      </w:r>
      <w:r>
        <w:t xml:space="preserve"> Late-summer drought push, post-freeze spring inspection, "after the big storm" inspection, foundation watering tips as a lead magnet.</w:t>
      </w:r>
    </w:p>
    <w:p>
      <w:pPr>
        <w:spacing w:after="120"/>
      </w:pPr>
      <w:r>
        <w:rPr>
          <w:b/>
        </w:rPr>
        <w:t>Best for:</w:t>
      </w:r>
      <w:r>
        <w:t xml:space="preserve"> Clay-belt metros (Texas, Oklahoma, Colorado Front Range, Gulf Coast) and freeze-thaw markets in the North.</w:t>
      </w:r>
    </w:p>
    <w:p>
      <w:pPr>
        <w:spacing w:after="120"/>
      </w:pPr>
      <w:r>
        <w:rPr>
          <w:b/>
        </w:rPr>
        <w:t>Angle 14: Pre-Sale and Home Inspection Report</w:t>
      </w:r>
    </w:p>
    <w:p>
      <w:pPr>
        <w:spacing w:before="80" w:after="40"/>
        <w:ind w:left="576"/>
        <w:pBdr>
          <w:left w:val="single" w:sz="18" w:space="8" w:color="BFC8D1"/>
        </w:pBdr>
      </w:pPr>
      <w:r>
        <w:rPr>
          <w:i/>
          <w:color w:val="445566"/>
        </w:rPr>
        <w:t>“Industry-standard angle (not observed in the captured set): "Selling your home? A foundation note on the inspection report can stall a sale. Get a free evaluation and a repair plan buyers can trust."”</w:t>
      </w:r>
    </w:p>
    <w:p>
      <w:pPr>
        <w:spacing w:after="120"/>
      </w:pPr>
      <w:r>
        <w:rPr>
          <w:b/>
        </w:rPr>
        <w:t>Why it works:</w:t>
      </w:r>
      <w:r>
        <w:t xml:space="preserve"> Home sales are one of the most common triggers for foundation repair, since inspector findings force a decision on a deadline. This angle reaches sellers before the buyer's inspection and gives realtors a reason to refer.</w:t>
      </w:r>
    </w:p>
    <w:p>
      <w:pPr>
        <w:spacing w:after="120"/>
      </w:pPr>
      <w:r>
        <w:rPr>
          <w:b/>
        </w:rPr>
        <w:t>Common variations:</w:t>
      </w:r>
      <w:r>
        <w:t xml:space="preserve"> "Buying a home with foundation issues?", realtor partner offer, transferable warranty as a selling point, fast-turnaround repair for closings.</w:t>
      </w:r>
    </w:p>
    <w:p>
      <w:pPr>
        <w:spacing w:after="120"/>
      </w:pPr>
      <w:r>
        <w:rPr>
          <w:b/>
        </w:rPr>
        <w:t>Best for:</w:t>
      </w:r>
      <w:r>
        <w:t xml:space="preserve"> Active real estate markets and audiences targeted by homeowner age and length of residence.</w:t>
      </w:r>
    </w:p>
    <w:p>
      <w:pPr>
        <w:spacing w:after="120"/>
      </w:pPr>
      <w:r>
        <w:rPr>
          <w:b/>
        </w:rPr>
        <w:t>Angle 15: Transferable Warranty and Annual Monitoring</w:t>
      </w:r>
    </w:p>
    <w:p>
      <w:pPr>
        <w:spacing w:before="80" w:after="40"/>
        <w:ind w:left="576"/>
        <w:pBdr>
          <w:left w:val="single" w:sz="18" w:space="8" w:color="BFC8D1"/>
        </w:pBdr>
      </w:pPr>
      <w:r>
        <w:rPr>
          <w:i/>
          <w:color w:val="445566"/>
        </w:rPr>
        <w:t>“Industry-standard angle, echoed in "warranty-backed work" (Olshan): "Lifetime transferable warranty plus a free annual check. Your home stays protected, and so does its resale value."”</w:t>
      </w:r>
    </w:p>
    <w:p>
      <w:pPr>
        <w:spacing w:after="120"/>
      </w:pPr>
      <w:r>
        <w:rPr>
          <w:b/>
        </w:rPr>
        <w:t>Why it works:</w:t>
      </w:r>
      <w:r>
        <w:t xml:space="preserve"> Homeowners worry that a repair will not hold. A transferable warranty adds resale value, and an annual monitoring visit creates a recurring touchpoint that generates referrals and follow-on work.</w:t>
      </w:r>
    </w:p>
    <w:p>
      <w:pPr>
        <w:spacing w:after="120"/>
      </w:pPr>
      <w:r>
        <w:rPr>
          <w:b/>
        </w:rPr>
        <w:t>Common variations:</w:t>
      </w:r>
      <w:r>
        <w:t xml:space="preserve"> Lifetime transferable warranty, annual elevation check, maintenance plan, warranty registration reminder.</w:t>
      </w:r>
    </w:p>
    <w:p>
      <w:pPr>
        <w:spacing w:after="120"/>
      </w:pPr>
      <w:r>
        <w:rPr>
          <w:b/>
        </w:rPr>
        <w:t>Best for:</w:t>
      </w:r>
      <w:r>
        <w:t xml:space="preserve"> Recurring revenue plays and as a closing line in high-ticket pier ads.</w:t>
      </w:r>
    </w:p>
    <w:p>
      <w:pPr>
        <w:pBdr>
          <w:bottom w:val="single" w:sz="6" w:space="1" w:color="C0C8D0"/>
        </w:pBdr>
        <w:spacing w:after="160"/>
      </w:pPr>
    </w:p>
    <w:p>
      <w:pPr>
        <w:pStyle w:val="Heading3"/>
      </w:pPr>
      <w:r>
        <w:t>Common Combos in This Niche</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2E4A6B"/>
            <w:vAlign w:val="center"/>
          </w:tcPr>
          <w:p>
            <w:r/>
            <w:r>
              <w:rPr>
                <w:b/>
                <w:color w:val="FFFFFF"/>
                <w:sz w:val="22"/>
              </w:rPr>
              <w:t>Combo</w:t>
            </w:r>
          </w:p>
        </w:tc>
        <w:tc>
          <w:tcPr>
            <w:tcW w:type="dxa" w:w="3120"/>
            <w:shd w:val="clear" w:color="auto" w:fill="2E4A6B"/>
            <w:vAlign w:val="center"/>
          </w:tcPr>
          <w:p>
            <w:r/>
            <w:r>
              <w:rPr>
                <w:b/>
                <w:color w:val="FFFFFF"/>
                <w:sz w:val="22"/>
              </w:rPr>
              <w:t>Angles</w:t>
            </w:r>
          </w:p>
        </w:tc>
        <w:tc>
          <w:tcPr>
            <w:tcW w:type="dxa" w:w="3120"/>
            <w:shd w:val="clear" w:color="auto" w:fill="2E4A6B"/>
            <w:vAlign w:val="center"/>
          </w:tcPr>
          <w:p>
            <w:r/>
            <w:r>
              <w:rPr>
                <w:b/>
                <w:color w:val="FFFFFF"/>
                <w:sz w:val="22"/>
              </w:rPr>
              <w:t>What it looks like in the captured ads</w:t>
            </w:r>
          </w:p>
        </w:tc>
      </w:tr>
      <w:tr>
        <w:tc>
          <w:tcPr>
            <w:tcW w:type="dxa" w:w="3120"/>
            <w:vAlign w:val="top"/>
          </w:tcPr>
          <w:p>
            <w:r>
              <w:rPr>
                <w:sz w:val="21"/>
              </w:rPr>
            </w:r>
            <w:r>
              <w:rPr>
                <w:sz w:val="21"/>
              </w:rPr>
              <w:t>Symptom hook plus free inspection</w:t>
            </w:r>
          </w:p>
        </w:tc>
        <w:tc>
          <w:tcPr>
            <w:tcW w:type="dxa" w:w="3120"/>
            <w:vAlign w:val="top"/>
          </w:tcPr>
          <w:p>
            <w:r>
              <w:rPr>
                <w:sz w:val="21"/>
              </w:rPr>
            </w:r>
            <w:r>
              <w:rPr>
                <w:sz w:val="21"/>
              </w:rPr>
              <w:t>8 + 1</w:t>
            </w:r>
          </w:p>
        </w:tc>
        <w:tc>
          <w:tcPr>
            <w:tcW w:type="dxa" w:w="3120"/>
            <w:vAlign w:val="top"/>
          </w:tcPr>
          <w:p>
            <w:r>
              <w:rPr>
                <w:sz w:val="21"/>
              </w:rPr>
            </w:r>
            <w:r>
              <w:rPr>
                <w:sz w:val="21"/>
              </w:rPr>
              <w:t>"Your brick cracks may be telling you something" with "Free Evaluation" (Olshan); "Cracked Brick? Get a Free..." (Crack Guys)</w:t>
            </w:r>
          </w:p>
        </w:tc>
      </w:tr>
      <w:tr>
        <w:tc>
          <w:tcPr>
            <w:tcW w:type="dxa" w:w="3120"/>
            <w:vAlign w:val="top"/>
          </w:tcPr>
          <w:p>
            <w:r>
              <w:rPr>
                <w:sz w:val="21"/>
              </w:rPr>
            </w:r>
            <w:r>
              <w:rPr>
                <w:sz w:val="21"/>
              </w:rPr>
              <w:t>Cost of waiting plus monthly payment</w:t>
            </w:r>
          </w:p>
        </w:tc>
        <w:tc>
          <w:tcPr>
            <w:tcW w:type="dxa" w:w="3120"/>
            <w:vAlign w:val="top"/>
          </w:tcPr>
          <w:p>
            <w:r>
              <w:rPr>
                <w:sz w:val="21"/>
              </w:rPr>
            </w:r>
            <w:r>
              <w:rPr>
                <w:sz w:val="21"/>
              </w:rPr>
              <w:t>5 + 9</w:t>
            </w:r>
          </w:p>
        </w:tc>
        <w:tc>
          <w:tcPr>
            <w:tcW w:type="dxa" w:w="3120"/>
            <w:vAlign w:val="top"/>
          </w:tcPr>
          <w:p>
            <w:r>
              <w:rPr>
                <w:sz w:val="21"/>
              </w:rPr>
            </w:r>
            <w:r>
              <w:rPr>
                <w:sz w:val="21"/>
              </w:rPr>
              <w:t>"Foundation issues don't fix themselves... Solutions available around $125/month" (Olshan)</w:t>
            </w:r>
          </w:p>
        </w:tc>
      </w:tr>
      <w:tr>
        <w:tc>
          <w:tcPr>
            <w:tcW w:type="dxa" w:w="3120"/>
            <w:vAlign w:val="top"/>
          </w:tcPr>
          <w:p>
            <w:r>
              <w:rPr>
                <w:sz w:val="21"/>
              </w:rPr>
            </w:r>
            <w:r>
              <w:rPr>
                <w:sz w:val="21"/>
              </w:rPr>
              <w:t>Before/after carousel plus reviews plus free inspection</w:t>
            </w:r>
          </w:p>
        </w:tc>
        <w:tc>
          <w:tcPr>
            <w:tcW w:type="dxa" w:w="3120"/>
            <w:vAlign w:val="top"/>
          </w:tcPr>
          <w:p>
            <w:r>
              <w:rPr>
                <w:sz w:val="21"/>
              </w:rPr>
            </w:r>
            <w:r>
              <w:rPr>
                <w:sz w:val="21"/>
              </w:rPr>
              <w:t>12 + 11 + 1</w:t>
            </w:r>
          </w:p>
        </w:tc>
        <w:tc>
          <w:tcPr>
            <w:tcW w:type="dxa" w:w="3120"/>
            <w:vAlign w:val="top"/>
          </w:tcPr>
          <w:p>
            <w:r>
              <w:rPr>
                <w:sz w:val="21"/>
              </w:rPr>
            </w:r>
            <w:r>
              <w:rPr>
                <w:sz w:val="21"/>
              </w:rPr>
              <w:t>4.9 stars, 1,066+ reviews, free inspection, localized phone per metro (Crack Guys)</w:t>
            </w:r>
          </w:p>
        </w:tc>
      </w:tr>
      <w:tr>
        <w:tc>
          <w:tcPr>
            <w:tcW w:type="dxa" w:w="3120"/>
            <w:vAlign w:val="top"/>
          </w:tcPr>
          <w:p>
            <w:r>
              <w:rPr>
                <w:sz w:val="21"/>
              </w:rPr>
            </w:r>
            <w:r>
              <w:rPr>
                <w:sz w:val="21"/>
              </w:rPr>
              <w:t>License and honest pricing plus discount</w:t>
            </w:r>
          </w:p>
        </w:tc>
        <w:tc>
          <w:tcPr>
            <w:tcW w:type="dxa" w:w="3120"/>
            <w:vAlign w:val="top"/>
          </w:tcPr>
          <w:p>
            <w:r>
              <w:rPr>
                <w:sz w:val="21"/>
              </w:rPr>
            </w:r>
            <w:r>
              <w:rPr>
                <w:sz w:val="21"/>
              </w:rPr>
              <w:t>4 + 3</w:t>
            </w:r>
          </w:p>
        </w:tc>
        <w:tc>
          <w:tcPr>
            <w:tcW w:type="dxa" w:w="3120"/>
            <w:vAlign w:val="top"/>
          </w:tcPr>
          <w:p>
            <w:r>
              <w:rPr>
                <w:sz w:val="21"/>
              </w:rPr>
            </w:r>
            <w:r>
              <w:rPr>
                <w:sz w:val="21"/>
              </w:rPr>
              <w:t>HIC number, "honest pricing," 10% off seniors and veterans (Cornerstone)</w:t>
            </w:r>
          </w:p>
        </w:tc>
      </w:tr>
      <w:tr>
        <w:tc>
          <w:tcPr>
            <w:tcW w:type="dxa" w:w="3120"/>
            <w:vAlign w:val="top"/>
          </w:tcPr>
          <w:p>
            <w:r>
              <w:rPr>
                <w:sz w:val="21"/>
              </w:rPr>
            </w:r>
            <w:r>
              <w:rPr>
                <w:sz w:val="21"/>
              </w:rPr>
              <w:t>Job-site proof plus service-first tagline</w:t>
            </w:r>
          </w:p>
        </w:tc>
        <w:tc>
          <w:tcPr>
            <w:tcW w:type="dxa" w:w="3120"/>
            <w:vAlign w:val="top"/>
          </w:tcPr>
          <w:p>
            <w:r>
              <w:rPr>
                <w:sz w:val="21"/>
              </w:rPr>
            </w:r>
            <w:r>
              <w:rPr>
                <w:sz w:val="21"/>
              </w:rPr>
              <w:t>7 + 6</w:t>
            </w:r>
          </w:p>
        </w:tc>
        <w:tc>
          <w:tcPr>
            <w:tcW w:type="dxa" w:w="3120"/>
            <w:vAlign w:val="top"/>
          </w:tcPr>
          <w:p>
            <w:r>
              <w:rPr>
                <w:sz w:val="21"/>
              </w:rPr>
            </w:r>
            <w:r>
              <w:rPr>
                <w:sz w:val="21"/>
              </w:rPr>
              <w:t>Raw pier photos with "Servir no competir," running since 2023</w:t>
            </w:r>
          </w:p>
        </w:tc>
      </w:tr>
    </w:tbl>
    <w:p>
      <w:pPr>
        <w:pBdr>
          <w:bottom w:val="single" w:sz="6" w:space="1" w:color="C0C8D0"/>
        </w:pBdr>
        <w:spacing w:after="160"/>
      </w:pPr>
    </w:p>
    <w:p>
      <w:pPr>
        <w:pStyle w:val="Heading3"/>
      </w:pPr>
      <w:r>
        <w:t>Common Pitfalls in This Niche</w:t>
      </w:r>
    </w:p>
    <w:p>
      <w:pPr>
        <w:pStyle w:val="ListBullet"/>
        <w:spacing w:after="40"/>
      </w:pPr>
      <w:r>
        <w:rPr>
          <w:b/>
        </w:rPr>
        <w:t>Brand-only ads with no offer.</w:t>
      </w:r>
      <w:r>
        <w:t xml:space="preserve"> Cornerstone's longer service-list ads carried no offer and include low-impression variants, while its offer ad ("10% OFF for Seniors &amp; Veterans") led with a reason to act.</w:t>
      </w:r>
    </w:p>
    <w:p>
      <w:pPr>
        <w:pStyle w:val="ListBullet"/>
        <w:spacing w:after="40"/>
      </w:pPr>
      <w:r>
        <w:rPr>
          <w:b/>
        </w:rPr>
        <w:t>Leading with the full price.</w:t>
      </w:r>
      <w:r>
        <w:t xml:space="preserve"> Pier jobs at $6K to $16K scare cold audiences. The captured ads lead with free inspections or monthly payment framing instead.</w:t>
      </w:r>
    </w:p>
    <w:p>
      <w:pPr>
        <w:pStyle w:val="ListBullet"/>
        <w:spacing w:after="40"/>
      </w:pPr>
      <w:r>
        <w:rPr>
          <w:b/>
        </w:rPr>
        <w:t>Stock imagery.</w:t>
      </w:r>
      <w:r>
        <w:t xml:space="preserve"> The longest-running ad in the set uses raw job-site photos. Real crews and real homes outperform polished stock in this trade.</w:t>
      </w:r>
    </w:p>
    <w:p>
      <w:pPr>
        <w:pStyle w:val="ListBullet"/>
        <w:spacing w:after="40"/>
      </w:pPr>
      <w:r>
        <w:rPr>
          <w:b/>
        </w:rPr>
        <w:t>Ignoring speed to contact.</w:t>
      </w:r>
      <w:r>
        <w:t xml:space="preserve"> Every captured ad drives to a call, message, or form. Inspection requests that wait hours for a callback tend to go to the next company the homeowner contacted.</w:t>
      </w:r>
    </w:p>
    <w:p>
      <w:pPr>
        <w:pStyle w:val="ListBullet"/>
        <w:spacing w:after="40"/>
      </w:pPr>
      <w:r>
        <w:rPr>
          <w:b/>
        </w:rPr>
        <w:t>Single-message campaigns.</w:t>
      </w:r>
      <w:r>
        <w:t xml:space="preserve"> The most active advertisers run symptom, drainage, concrete lifting, and financing angles side by side rather than one ad.</w:t>
      </w:r>
    </w:p>
    <w:p>
      <w:pPr>
        <w:pBdr>
          <w:bottom w:val="single" w:sz="6" w:space="1" w:color="C0C8D0"/>
        </w:pBdr>
        <w:spacing w:after="160"/>
      </w:pPr>
    </w:p>
    <w:p>
      <w:pPr>
        <w:pStyle w:val="Heading3"/>
      </w:pPr>
      <w:r>
        <w:t>Source Credits</w:t>
      </w:r>
    </w:p>
    <w:p>
      <w:pPr>
        <w:spacing w:after="120"/>
      </w:pPr>
      <w:r>
        <w:t>Ad examples were captured from the Meta Ad Library (United States, All ads, Active) in October 2026: Olshan Foundation Repair (Library IDs 1567788041380068, 2134869970419186, 26987804880878685 and related versions), the "Foundation repair" page with the "Servir no competir" tagline (Library IDs 308163738240217, 838878344299035, 1339834843411614), Affordable Foundation and Home Repair, The Crack Guys (Library IDs 2180528159182192, 1069066585669112, 1070777032114869, 1525098476318465), and Cornerstone Foundation Crack Repair LLC (Library IDs 860885130347471, 28357000473965467, 979416215173512, 886080847774608). Industry-standard angles (13, 14, 15) draw on the Stage 2 deep dive and common practice in the trade. Quotes are lightly edited for punctuation.</w:t>
      </w:r>
    </w:p>
    <w:p>
      <w:pPr>
        <w:pBdr>
          <w:bottom w:val="single" w:sz="6" w:space="1" w:color="C0C8D0"/>
        </w:pBdr>
        <w:spacing w:after="160"/>
      </w:pPr>
    </w:p>
    <w:p>
      <w:pPr>
        <w:pStyle w:val="Heading2"/>
      </w:pPr>
      <w:r>
        <w:t>Sources</w:t>
      </w:r>
    </w:p>
    <w:p>
      <w:pPr>
        <w:pStyle w:val="ListBullet"/>
        <w:spacing w:after="40"/>
      </w:pPr>
      <w:r>
        <w:t>WiFi Talents: foundation repair industry statistics: https://wifitalents.com/foundation-repair-industry-statistics/</w:t>
      </w:r>
    </w:p>
    <w:p>
      <w:pPr>
        <w:pStyle w:val="ListBullet"/>
        <w:spacing w:after="40"/>
      </w:pPr>
      <w:r>
        <w:t>Gitnux: foundation repair industry statistics: https://gitnux.org/foundation-repair-industry-statistics/</w:t>
      </w:r>
    </w:p>
    <w:p>
      <w:pPr>
        <w:pStyle w:val="ListBullet"/>
        <w:spacing w:after="40"/>
      </w:pPr>
      <w:r>
        <w:t>Technavio: foundation repair service market: https://technavio.com/report/foundation-repair-service-market-industry-analysis</w:t>
      </w:r>
    </w:p>
    <w:p>
      <w:pPr>
        <w:pStyle w:val="ListBullet"/>
        <w:spacing w:after="40"/>
      </w:pPr>
      <w:r>
        <w:t>Future Market Insights: US and Canada foundation repair services market: https://www.futuremarketinsights.com/reports/united-states-and-canada-foundation-repair-services-market</w:t>
      </w:r>
    </w:p>
    <w:p>
      <w:pPr>
        <w:pStyle w:val="ListBullet"/>
        <w:spacing w:after="40"/>
      </w:pPr>
      <w:r>
        <w:t>Stout: Residential Services Q1 2026: https://www.stout.com/-/media/pdf/industry-update/residential-services/stout-ib_residential-services-q1-2026-newsletter_vf.pdf</w:t>
      </w:r>
    </w:p>
    <w:p>
      <w:pPr>
        <w:pStyle w:val="ListBullet"/>
        <w:spacing w:after="40"/>
      </w:pPr>
      <w:r>
        <w:t>Key: foundation repair cost: https://www.key.com/to/fwhub+hafoundations</w:t>
      </w:r>
    </w:p>
    <w:p>
      <w:pPr>
        <w:pStyle w:val="ListBullet"/>
        <w:spacing w:after="40"/>
      </w:pPr>
      <w:r>
        <w:t>CT Acquisitions: buying a foundation repair business: https://www.ctacquisitions.com/buy-a-business/foundation-repair/</w:t>
      </w:r>
    </w:p>
    <w:p>
      <w:pPr>
        <w:pStyle w:val="ListBullet"/>
        <w:spacing w:after="40"/>
      </w:pPr>
      <w:r>
        <w:t>Financial Models Lab: house leveling profitability: https://financialmodelslab.com/blogs/profitability/house-leveling</w:t>
      </w:r>
    </w:p>
    <w:p>
      <w:pPr>
        <w:pStyle w:val="ListBullet"/>
        <w:spacing w:after="40"/>
      </w:pPr>
      <w:r>
        <w:t>Accredited deal writeup: Denver foundation repair operator: https://joinaccredited.com/deals/denver-foundation-repair-general-contractor-17-year-colorado-operator</w:t>
      </w:r>
    </w:p>
    <w:p>
      <w:pPr>
        <w:pStyle w:val="ListBullet"/>
        <w:spacing w:after="40"/>
      </w:pPr>
      <w:r>
        <w:t>Valley Marketing Group: foundation repair Google Ads CPL 2026: https://thevalleymarketinggroup.com/blog/foundation-repair-google-ads-cost-per-lead-2026/</w:t>
      </w:r>
    </w:p>
    <w:p>
      <w:pPr>
        <w:pStyle w:val="ListBullet"/>
        <w:spacing w:after="40"/>
      </w:pPr>
      <w:r>
        <w:t>ClicksGeek: Facebook ads for foundation repair: https://clicksgeek.com/facebook-ads-for-foundation-repair/</w:t>
      </w:r>
    </w:p>
    <w:p>
      <w:pPr>
        <w:pStyle w:val="ListBullet"/>
        <w:spacing w:after="40"/>
      </w:pPr>
      <w:r>
        <w:t>Prospeo: average cost per lead by industry: https://prospeo.io/s/average-cost-per-lead-by-industry</w:t>
      </w:r>
    </w:p>
    <w:p>
      <w:pPr>
        <w:pStyle w:val="ListBullet"/>
        <w:spacing w:after="40"/>
      </w:pPr>
      <w:r>
        <w:t>Groundworks company site: https://www.groundworks.com/?p=13434</w:t>
      </w:r>
    </w:p>
    <w:p>
      <w:pPr>
        <w:pStyle w:val="ListBullet"/>
        <w:spacing w:after="40"/>
      </w:pPr>
      <w:r>
        <w:t>PrivSource: KKR investment in Groundworks: https://www.privsource.com/acquisitions/deal/3ASYz2</w:t>
      </w:r>
    </w:p>
    <w:p>
      <w:pPr>
        <w:pStyle w:val="ListBullet"/>
        <w:spacing w:after="40"/>
      </w:pPr>
      <w:r>
        <w:t>PrivSource: Groundworks acquires AquaGuard: https://www.privsource.com/acquisitions/deal/gaS8Y8</w:t>
      </w:r>
    </w:p>
    <w:p>
      <w:pPr>
        <w:pStyle w:val="ListBullet"/>
        <w:spacing w:after="40"/>
      </w:pPr>
      <w:r>
        <w:t>PrivSource: Vanterra acquires '58 Foundations: https://www.privsource.com/acquisitions/deal/LXSZMX</w:t>
      </w:r>
    </w:p>
    <w:p>
      <w:pPr>
        <w:pStyle w:val="ListBullet"/>
        <w:spacing w:after="40"/>
      </w:pPr>
      <w:r>
        <w:t>CenterOak forms foundation repair platform (Solid Ground): https://markets.financialcontent.com/concordmonitor/article/bizwire-2025-1-9-centeroak-partners-forms-foundation-repair-services-platform</w:t>
      </w:r>
    </w:p>
    <w:p>
      <w:pPr>
        <w:pStyle w:val="ListBullet"/>
        <w:spacing w:after="40"/>
      </w:pPr>
      <w:r>
        <w:t>MDM: Oridian launches AnchorPoint: https://www.mdm.com/news/top-distributor-sectors/building-materials-construction/oridian-capital-launches-foundation-repair-waterproofing-platform-anchorpoint/</w:t>
      </w:r>
    </w:p>
    <w:p>
      <w:pPr>
        <w:pStyle w:val="ListBullet"/>
        <w:spacing w:after="40"/>
      </w:pPr>
      <w:r>
        <w:t>Franchising.com: Ram Jack overview: https://www.franchising.com/ramjack/</w:t>
      </w:r>
    </w:p>
    <w:p>
      <w:pPr>
        <w:pStyle w:val="ListBullet"/>
        <w:spacing w:after="40"/>
      </w:pPr>
      <w:r>
        <w:t>Supportworks dealer page: https://www.supportworks.com/dealers/illinois/1192-woods-basement-systems.html</w:t>
      </w:r>
    </w:p>
    <w:p>
      <w:pPr>
        <w:pStyle w:val="ListBullet"/>
        <w:spacing w:after="40"/>
      </w:pPr>
      <w:r>
        <w:t>CTAcquisitions, Foundation Repair PE Roll-Up Tracker 2026: https://ctacquisitions.com/foundation-repair-pe-roll-up-tracker/</w:t>
      </w:r>
    </w:p>
    <w:p>
      <w:pPr>
        <w:pStyle w:val="ListBullet"/>
        <w:spacing w:after="40"/>
      </w:pPr>
      <w:r>
        <w:t>Business Wire, CenterOak forms Solid Ground Solutions (Jan 2025): https://www.businesswire.com/news/home/20250109491650/en</w:t>
      </w:r>
    </w:p>
    <w:p>
      <w:pPr>
        <w:pStyle w:val="ListBullet"/>
        <w:spacing w:after="40"/>
      </w:pPr>
      <w:r>
        <w:t>VC Access Online, Oridian launches AnchorPoint Foundations (2026): https://www.vcaonline.com/news/2026060131/oridian-capital-partners-launches-anchorpoint-foundations-to-build-a-foundation-repair-and-waterproofing-platform/</w:t>
      </w:r>
    </w:p>
    <w:p>
      <w:pPr>
        <w:pStyle w:val="ListBullet"/>
        <w:spacing w:after="40"/>
      </w:pPr>
      <w:r>
        <w:t>Fixr, Foundation repair cost 2025: https://www.fixr.com/costs/repair-foundation</w:t>
      </w:r>
    </w:p>
    <w:p>
      <w:pPr>
        <w:pStyle w:val="ListBullet"/>
        <w:spacing w:after="40"/>
      </w:pPr>
      <w:r>
        <w:t>This Old House, Foundation repair cost: https://thisoldhouse.com/foundations/reviews/foundation-repair-cost</w:t>
      </w:r>
    </w:p>
    <w:p>
      <w:pPr>
        <w:pStyle w:val="ListBullet"/>
        <w:spacing w:after="40"/>
      </w:pPr>
      <w:r>
        <w:t>IBISWorld, Damage Restoration Services in the US, number of businesses: https://www.ibisworld.com/industry-statistics/number-of-businesses/damage-restoration-services-united-states</w:t>
      </w:r>
    </w:p>
    <w:p>
      <w:pPr>
        <w:pStyle w:val="ListBullet"/>
        <w:spacing w:after="40"/>
      </w:pPr>
      <w:r>
        <w:t>IBISWorld, Damage Restoration Services in the US, market size: https://www.ibisworld.com/industry-statistics/market-size/damage-restoration-services-united-states/</w:t>
      </w:r>
    </w:p>
    <w:p>
      <w:pPr>
        <w:pStyle w:val="ListBullet"/>
        <w:spacing w:after="40"/>
      </w:pPr>
      <w:r>
        <w:t>Blackstone, SERVPRO recapitalization: https://www.blackstone.com/press-releases/article/servpro-leading-franchisor-of-residential-and-commercial-property-damage-restoration-services-announces-recapitalization-and-long-term-partnership-with-blackstone</w:t>
      </w:r>
    </w:p>
    <w:p>
      <w:pPr>
        <w:pStyle w:val="ListBullet"/>
        <w:spacing w:after="40"/>
      </w:pPr>
      <w:r>
        <w:t>Business Wire, Orangewood invests in SERVPRO West Coast DRT (2024): https://www.businesswire.com/news/home/20240110049562/en/Orangewood-Partners-Makes-Strategic-Investment-in-SERVPRO®-West-Coast-DRT</w:t>
      </w:r>
    </w:p>
    <w:p>
      <w:pPr>
        <w:pStyle w:val="ListBullet"/>
        <w:spacing w:after="40"/>
      </w:pPr>
      <w:r>
        <w:t>HomeAdvisor, Water damage restoration cost 2025: https://www.homeadvisor.com/cost/disaster-recovery/repair-water-damage/</w:t>
      </w:r>
    </w:p>
    <w:p>
      <w:pPr>
        <w:pStyle w:val="ListBullet"/>
        <w:spacing w:after="40"/>
      </w:pPr>
      <w:r>
        <w:t>Pushleads, Water damage restoration cost: https://pushleads.com/restoration-company-seo/water-damage-restoration-cost/</w:t>
      </w:r>
    </w:p>
    <w:p>
      <w:pPr>
        <w:pStyle w:val="ListBullet"/>
        <w:spacing w:after="40"/>
      </w:pPr>
      <w:r>
        <w:t>Webtonic, Water damage Google Ads statistics: https://www.webtonic.io/blog/water-damage-restoration-google-ads-statistics</w:t>
      </w:r>
    </w:p>
    <w:p>
      <w:pPr>
        <w:pStyle w:val="ListBullet"/>
        <w:spacing w:after="40"/>
      </w:pPr>
      <w:r>
        <w:t>Webtonic, Water damage Facebook Ads statistics: https://www.webtonic.io/blog/water-damage-restoration-facebook-ads-statistics</w:t>
      </w:r>
    </w:p>
    <w:p>
      <w:pPr>
        <w:pStyle w:val="ListBullet"/>
        <w:spacing w:after="40"/>
      </w:pPr>
      <w:r>
        <w:t>Pushleads, Google LSA for restoration companies: https://pushleads.com/google-local-service-ads-for-restoration-companies-the-pay-per-lead-system-that-works-for-emergency-jobs/</w:t>
      </w:r>
    </w:p>
    <w:p>
      <w:pPr>
        <w:pStyle w:val="ListBullet"/>
        <w:spacing w:after="40"/>
      </w:pPr>
      <w:r>
        <w:t>HomeAdvisor, Slab leak repair cost 2025: https://www.homeadvisor.com/cost/plumbing/slab-leak-repair/</w:t>
      </w:r>
    </w:p>
    <w:p>
      <w:pPr>
        <w:pStyle w:val="ListBullet"/>
        <w:spacing w:after="40"/>
      </w:pPr>
      <w:r>
        <w:t>Fixr, Slab leak repair cost: https://www.fixr.com/costs/slab-leak-repair</w:t>
      </w:r>
    </w:p>
    <w:p>
      <w:pPr>
        <w:pStyle w:val="ListBullet"/>
        <w:spacing w:after="40"/>
      </w:pPr>
      <w:r>
        <w:t>This Old House, Slab leak repair cost: https://www.thisoldhouse.com/foundations/slab-leak-repair-cost</w:t>
      </w:r>
    </w:p>
    <w:p>
      <w:pPr>
        <w:pStyle w:val="ListBullet"/>
        <w:spacing w:after="40"/>
      </w:pPr>
      <w:r>
        <w:t>ThePricer, Replacing galvanized pipes / repipe cost: https://www.thepricer.org/replacing-galvanized-pipes-cost/</w:t>
      </w:r>
    </w:p>
    <w:p>
      <w:pPr>
        <w:pStyle w:val="ListBullet"/>
        <w:spacing w:after="40"/>
      </w:pPr>
      <w:r>
        <w:t>Lightning Path Partners, Is private equity bad for the plumbing industry: https://lightningpathpartners.com/blog/is-private-equity-bad-for-plumbing-industry</w:t>
      </w:r>
    </w:p>
    <w:p>
      <w:pPr>
        <w:pStyle w:val="ListBullet"/>
        <w:spacing w:after="40"/>
      </w:pPr>
      <w:r>
        <w:t>HBS Dealer, Private equity backs plumbing: https://hbsdealer.com/private-equity-backs-plumbing</w:t>
      </w:r>
    </w:p>
    <w:p>
      <w:pPr>
        <w:pStyle w:val="ListBullet"/>
        <w:spacing w:after="40"/>
      </w:pPr>
      <w:r>
        <w:t>Beancount, HVAC and plumbing PE roll-up guide (2026): https://beancount.io/blog/2026/07/11/hvac-plumbing-private-equity-roll-up-guide</w:t>
      </w:r>
    </w:p>
    <w:p>
      <w:pPr>
        <w:pStyle w:val="ListBullet"/>
        <w:spacing w:after="40"/>
      </w:pPr>
      <w:r>
        <w:t>Meta Ad Library (US, active ads, captured October 2026): https://www.facebook.com/ads/library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4A6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