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Univerzita Karlova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Přírodovědecká fakulta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860040" cy="2860040"/>
            <wp:effectExtent b="0" l="0" r="0" t="0"/>
            <wp:docPr descr="Reference - Přírodovědecká fakulta UK | Naviga4" id="1931691209" name="image1.jpg"/>
            <a:graphic>
              <a:graphicData uri="http://schemas.openxmlformats.org/drawingml/2006/picture">
                <pic:pic>
                  <pic:nvPicPr>
                    <pic:cNvPr descr="Reference - Přírodovědecká fakulta UK | Naviga4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86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MATEMATICKÁ KARTOGRAFIE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Konstrukce polyedrických glóbů</w:t>
      </w:r>
    </w:p>
    <w:p w:rsidR="00000000" w:rsidDel="00000000" w:rsidP="00000000" w:rsidRDefault="00000000" w:rsidRPr="00000000" w14:paraId="0000000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Jáchym ČERNÍK, Monika NOVOTNÁ</w:t>
      </w:r>
    </w:p>
    <w:p w:rsidR="00000000" w:rsidDel="00000000" w:rsidP="00000000" w:rsidRDefault="00000000" w:rsidRPr="00000000" w14:paraId="00000019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1. N-GKDPZ</w:t>
      </w:r>
    </w:p>
    <w:p w:rsidR="00000000" w:rsidDel="00000000" w:rsidP="00000000" w:rsidRDefault="00000000" w:rsidRPr="00000000" w14:paraId="0000001A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Praha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Zadání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Vybraná platónská tělesa (šestistěn, čtyřstěn a osmistěn nebo dvanáctistěn) použijte pro polyedrickou aproximaci sféry. Na plošky platonských těles znázorněte v gnómické projekci</w:t>
      </w:r>
    </w:p>
    <w:p w:rsidR="00000000" w:rsidDel="00000000" w:rsidP="00000000" w:rsidRDefault="00000000" w:rsidRPr="00000000" w14:paraId="0000001D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x = R * tan(90° - š)cos d,</w:t>
      </w:r>
    </w:p>
    <w:p w:rsidR="00000000" w:rsidDel="00000000" w:rsidP="00000000" w:rsidRDefault="00000000" w:rsidRPr="00000000" w14:paraId="0000001F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y = R * tan(90° - š)sin d,</w:t>
      </w:r>
    </w:p>
    <w:p w:rsidR="00000000" w:rsidDel="00000000" w:rsidP="00000000" w:rsidRDefault="00000000" w:rsidRPr="00000000" w14:paraId="00000020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Geografickou síť doplněnou zákresem kontinentů. Skript pro generování sítě poledníků, rovnoběžek a znázornění kontinentů realizujte v programu MATLAB bez použití externích funkcí. Soubory se zákresem kontinentů exportujte z vhodné datové sady. </w:t>
      </w:r>
    </w:p>
    <w:p w:rsidR="00000000" w:rsidDel="00000000" w:rsidP="00000000" w:rsidRDefault="00000000" w:rsidRPr="00000000" w14:paraId="00000022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Vytvořte prostorové modely polyedrických glóbů v měřítku 1:100 000 000 nebo 1:50 000 000 dle možností Vaší tiskárny a pošlete fotografii/video Vašeho glóbu. Součástí úlohy bude příloha s rozloženými modely glóbů. </w:t>
      </w:r>
    </w:p>
    <w:p w:rsidR="00000000" w:rsidDel="00000000" w:rsidP="00000000" w:rsidRDefault="00000000" w:rsidRPr="00000000" w14:paraId="0000002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Zjistěte následující vlastnosti gnómické projekce v okrajovém bodě Q jedné ze stěn Platónského tělesa: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měřítko mp v poledníku, měřítko mr v rovnoběžce,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poloosy a, b Tissotovy indikatrix,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úhel ω’ mezi obrazem poledníku a rovnoběžky,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maximální úhlové zkreslení ∆ω,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měřítko ploch P,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meridiánovou konvergenci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Vypočtené parametry v bodě Q použijte k zákresu Tissotovy indikatrix (doporučené měřítko 1:1 000 000), jako podklad využijte obraz geografické sítě na příslušné stěně Platónského tělesa v gnomické projekci, volte  ∆u = ∆v = 10° (formát A4, popř. odpovídající).</w:t>
      </w:r>
    </w:p>
    <w:p w:rsidR="00000000" w:rsidDel="00000000" w:rsidP="00000000" w:rsidRDefault="00000000" w:rsidRPr="00000000" w14:paraId="0000002E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Výpočty proveďte pro referenční kouli s poloměrem R = 6380 km, hodnoty měřítek a poloos Tissotovy indikatrix uveďte s přesností na 6 desetinných míst, úhlové hodnoty s přesností na ‘‘. Výsledky  zkontrolujte s hodnotami získanými z programu Proj.4.</w:t>
      </w:r>
    </w:p>
    <w:p w:rsidR="00000000" w:rsidDel="00000000" w:rsidP="00000000" w:rsidRDefault="00000000" w:rsidRPr="00000000" w14:paraId="0000003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Popis a rozbor problému + vzorce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Úvod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Při konstrukci polyedrického glóbu na platónském tělese je nutné, aby rovina definovaná stranou platónského tělesa a středem sféry, přičemž rovina je vůči tělesu opsaná či vepsaná, řezala sféru v hlavní kružnici, tedy v ortodromě (Bayer 2025a).  Hranice stěn platónského tělesa, při zobrazení v gnomické projekci, jsou úsečky a celou sféru lze bez překryvu rozložit po jednotlivých ploškách.</w:t>
      </w:r>
    </w:p>
    <w:p w:rsidR="00000000" w:rsidDel="00000000" w:rsidP="00000000" w:rsidRDefault="00000000" w:rsidRPr="00000000" w14:paraId="0000003D">
      <w:pPr>
        <w:spacing w:after="0" w:lineRule="auto"/>
        <w:jc w:val="both"/>
        <w:rPr/>
      </w:pPr>
      <w:r w:rsidDel="00000000" w:rsidR="00000000" w:rsidRPr="00000000">
        <w:rPr>
          <w:rtl w:val="0"/>
        </w:rPr>
        <w:tab/>
        <w:t xml:space="preserve">Tvorba polyedrického glóbu je tvořena několika kroky, jako první je nutné určit zeměpisné souřadnice vrcholů plošek tvořící platonské těleso. U každé plošky se počítá kartografický pól K, který je definován těžištěm plošky. Pro lepší přehlednost se vygeneruje zeměpisná síť. Následně jsou vloženy body, které definují kontinenty a podle plošek se transformují vzhledem ke kartografickým pólům a jsou zobrazovány v gnomické projekci. Ve vyznačené plošce se zobrazí kontinent a mimo plošku dochází k velkému zkreslení. Pro výsledek to však nevadí, jelikož se vyříznou zájmové plošky, které jsou definované souřadnicemi vrcholů. Vzniklé stěny platónského tělesa se následně spojí a vytvoří polyedrický glób. </w:t>
      </w:r>
    </w:p>
    <w:p w:rsidR="00000000" w:rsidDel="00000000" w:rsidP="00000000" w:rsidRDefault="00000000" w:rsidRPr="00000000" w14:paraId="0000003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Pravidelný dvanáctistěn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Dvanáctistěn je jedním z pěti platónských těles. Jedná se o 12 pravidelných pětiúhelníků s hranou a. V těchto pětiúhelnících platí, že dvě strany svírají úhel </w:t>
      </w:r>
      <m:oMath>
        <m:r>
          <m:t>ω</m:t>
        </m:r>
        <m:r>
          <w:rPr>
            <w:rFonts w:ascii="Cambria Math" w:cs="Cambria Math" w:eastAsia="Cambria Math" w:hAnsi="Cambria Math"/>
          </w:rPr>
          <m:t xml:space="preserve">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3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5</m:t>
            </m:r>
          </m:den>
        </m:f>
        <m:r>
          <w:rPr>
            <w:rFonts w:ascii="Cambria Math" w:cs="Cambria Math" w:eastAsia="Cambria Math" w:hAnsi="Cambria Math"/>
          </w:rPr>
          <m:t xml:space="preserve">π=108°</m:t>
        </m:r>
      </m:oMath>
      <w:r w:rsidDel="00000000" w:rsidR="00000000" w:rsidRPr="00000000">
        <w:rPr>
          <w:rtl w:val="0"/>
        </w:rPr>
        <w:t xml:space="preserve">. Délka stěnové úhlopříčky u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(Obr. 1) je vypočítána pomocí kosinové věty z rovnoramenného trojúhelníka CDE</w:t>
      </w:r>
    </w:p>
    <w:p w:rsidR="00000000" w:rsidDel="00000000" w:rsidP="00000000" w:rsidRDefault="00000000" w:rsidRPr="00000000" w14:paraId="00000041">
      <w:pPr>
        <w:spacing w:after="0" w:lineRule="auto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</m:t>
            </m:r>
          </m:sub>
        </m:sSub>
        <m:r>
          <w:rPr>
            <w:rFonts w:ascii="Cambria Math" w:cs="Cambria Math" w:eastAsia="Cambria Math" w:hAnsi="Cambria Math"/>
          </w:rPr>
          <m:t xml:space="preserve">=a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2(1-cosω)</m:t>
            </m:r>
          </m:e>
        </m:ra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Poloměr opsané kružnice r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(Obr. 1) určíme z rovnoramenného trojúhelníku s pomocí kosinové věty, </w:t>
      </w:r>
      <w:r w:rsidDel="00000000" w:rsidR="00000000" w:rsidRPr="00000000">
        <w:rPr>
          <w:i w:val="1"/>
          <w:rtl w:val="0"/>
        </w:rPr>
        <w:t xml:space="preserve">cos</w:t>
      </w:r>
      <w:r w:rsidDel="00000000" w:rsidR="00000000" w:rsidRPr="00000000">
        <w:rPr>
          <w:rtl w:val="0"/>
        </w:rPr>
        <w:t xml:space="preserve"> = 72°, poloměr vepsané kružnice ρ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(Obr. 1) pětiúhelníku určíme z Pythagorovy věty (Bayer 2025) </w:t>
      </w:r>
    </w:p>
    <w:p w:rsidR="00000000" w:rsidDel="00000000" w:rsidP="00000000" w:rsidRDefault="00000000" w:rsidRPr="00000000" w14:paraId="00000044">
      <w:pPr>
        <w:spacing w:after="0" w:lineRule="auto"/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br w:type="textWrapping"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2(1-cosω)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10</m:t>
            </m:r>
          </m:den>
        </m:f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10(5+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5)</m:t>
                </m:r>
              </m:e>
            </m:rad>
          </m:e>
        </m:rad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,</w:t>
      </w:r>
    </w:p>
    <w:p w:rsidR="00000000" w:rsidDel="00000000" w:rsidP="00000000" w:rsidRDefault="00000000" w:rsidRPr="00000000" w14:paraId="00000045">
      <w:pPr>
        <w:spacing w:after="0" w:lineRule="auto"/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ρ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a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5+2</m:t>
                </m:r>
                <m:rad>
                  <m:radPr>
                    <m:degHide m:val="1"/>
                    <m:ctrlPr>
                      <w:rPr>
                        <w:rFonts w:ascii="Cambria Math" w:cs="Cambria Math" w:eastAsia="Cambria Math" w:hAnsi="Cambria Math"/>
                      </w:rPr>
                    </m:ctrlPr>
                  </m:rad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5</m:t>
                    </m:r>
                  </m:e>
                </m:rad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den>
            </m:f>
          </m:e>
        </m:rad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pacing w:after="0" w:lineRule="auto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760720" cy="1644015"/>
            <wp:effectExtent b="0" l="0" r="0" t="0"/>
            <wp:docPr id="19316912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Obr. 1: Výpočet délky stěnové úhlopříčky u</w:t>
      </w:r>
      <w:r w:rsidDel="00000000" w:rsidR="00000000" w:rsidRPr="00000000">
        <w:rPr>
          <w:vertAlign w:val="subscript"/>
          <w:rtl w:val="0"/>
        </w:rPr>
        <w:t xml:space="preserve">s,</w:t>
      </w:r>
      <w:r w:rsidDel="00000000" w:rsidR="00000000" w:rsidRPr="00000000">
        <w:rPr>
          <w:rtl w:val="0"/>
        </w:rPr>
        <w:t xml:space="preserve"> poloměru r</w:t>
      </w:r>
      <w:r w:rsidDel="00000000" w:rsidR="00000000" w:rsidRPr="00000000">
        <w:rPr>
          <w:vertAlign w:val="subscript"/>
          <w:rtl w:val="0"/>
        </w:rPr>
        <w:t xml:space="preserve">s</w:t>
      </w:r>
      <w:r w:rsidDel="00000000" w:rsidR="00000000" w:rsidRPr="00000000">
        <w:rPr>
          <w:rtl w:val="0"/>
        </w:rPr>
        <w:t xml:space="preserve"> a ρ</w:t>
      </w:r>
      <w:r w:rsidDel="00000000" w:rsidR="00000000" w:rsidRPr="00000000">
        <w:rPr>
          <w:vertAlign w:val="subscript"/>
          <w:rtl w:val="0"/>
        </w:rPr>
        <w:t xml:space="preserve">s </w:t>
      </w:r>
      <w:r w:rsidDel="00000000" w:rsidR="00000000" w:rsidRPr="00000000">
        <w:rPr>
          <w:rtl w:val="0"/>
        </w:rPr>
        <w:t xml:space="preserve">(Bayer 2025)</w:t>
      </w:r>
    </w:p>
    <w:p w:rsidR="00000000" w:rsidDel="00000000" w:rsidP="00000000" w:rsidRDefault="00000000" w:rsidRPr="00000000" w14:paraId="0000004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Mezi jednotlivými pětiúhelníky – plochami dvanáctistěnu platí, že úhel </w:t>
      </w:r>
      <m:oMath>
        <m:r>
          <w:rPr>
            <w:rFonts w:ascii="Cambria Math" w:cs="Cambria Math" w:eastAsia="Cambria Math" w:hAnsi="Cambria Math"/>
          </w:rPr>
          <m:t xml:space="preserve">β=180°-α</m:t>
        </m:r>
      </m:oMath>
      <w:r w:rsidDel="00000000" w:rsidR="00000000" w:rsidRPr="00000000">
        <w:rPr>
          <w:rtl w:val="0"/>
        </w:rPr>
        <w:t xml:space="preserve">, přičemž </w:t>
      </w:r>
      <m:oMath>
        <m:r>
          <w:rPr>
            <w:rFonts w:ascii="Cambria Math" w:cs="Cambria Math" w:eastAsia="Cambria Math" w:hAnsi="Cambria Math"/>
          </w:rPr>
          <m:t xml:space="preserve">α=116,5651°</m:t>
        </m:r>
      </m:oMath>
      <w:r w:rsidDel="00000000" w:rsidR="00000000" w:rsidRPr="00000000">
        <w:rPr>
          <w:rtl w:val="0"/>
        </w:rPr>
        <w:t xml:space="preserve">. Rovina 0AF, která má střed v těžišti dvanástistěnu se dotýká těžiště každé stěny (Obr. 2), jedná se o bod U. Jeho zeměpisnou šířku určujeme  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>α</m:t>
            </m:r>
          </m:sub>
        </m:sSub>
        <m:r>
          <w:rPr>
            <w:rFonts w:ascii="Cambria Math" w:cs="Cambria Math" w:eastAsia="Cambria Math" w:hAnsi="Cambria Math"/>
          </w:rPr>
          <m:t xml:space="preserve">=90°-β=α-90°≈26.5651°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Kartografické póly jsou určeny již zmíněnou zeměpisnou šířkou 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, která je shodná na severní polokouli, na jižní polokouli je tato zeměpisná šířka záporná. Na severním a jižním pólu se zeměpisná šířka rovná 90° a -90°. Co se týče zeměpisné délky, tak rovina základního poledníku a rovina řezu AF0 se shodují, tedy kartografický pól K1 = 0°. Další kartografické póly jsou vzdálené 72°. Hodnoty K1 – K5 na severní polokouli jsou následující</w:t>
      </w:r>
    </w:p>
    <w:p w:rsidR="00000000" w:rsidDel="00000000" w:rsidP="00000000" w:rsidRDefault="00000000" w:rsidRPr="00000000" w14:paraId="00000051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K1 = [u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;0°], K2 = [u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;72°], K3 = [u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;144°], K4 = [u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;216°], K5 = [u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;288°]. </w:t>
      </w:r>
    </w:p>
    <w:p w:rsidR="00000000" w:rsidDel="00000000" w:rsidP="00000000" w:rsidRDefault="00000000" w:rsidRPr="00000000" w14:paraId="00000052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Kartografické póly na jižní polokouli K6 – K10 jsou </w:t>
      </w:r>
    </w:p>
    <w:p w:rsidR="00000000" w:rsidDel="00000000" w:rsidP="00000000" w:rsidRDefault="00000000" w:rsidRPr="00000000" w14:paraId="00000054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K6 = [-u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;36°], K7 = [-u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;108°], K8 = [-u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;180°], K9 = [-u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;252°], K10 = [-u</w:t>
      </w:r>
      <w:r w:rsidDel="00000000" w:rsidR="00000000" w:rsidRPr="00000000">
        <w:rPr>
          <w:vertAlign w:val="subscript"/>
          <w:rtl w:val="0"/>
        </w:rPr>
        <w:t xml:space="preserve">α</w:t>
      </w:r>
      <w:r w:rsidDel="00000000" w:rsidR="00000000" w:rsidRPr="00000000">
        <w:rPr>
          <w:rtl w:val="0"/>
        </w:rPr>
        <w:t xml:space="preserve">;324°]. </w:t>
      </w:r>
    </w:p>
    <w:p w:rsidR="00000000" w:rsidDel="00000000" w:rsidP="00000000" w:rsidRDefault="00000000" w:rsidRPr="00000000" w14:paraId="0000005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Poslední dva kartografické póly jsou umístěny na severním a jižním pólu, tedy K11[90;0°] a 12[- 90°;0°].</w:t>
      </w:r>
    </w:p>
    <w:p w:rsidR="00000000" w:rsidDel="00000000" w:rsidP="00000000" w:rsidRDefault="00000000" w:rsidRPr="00000000" w14:paraId="0000005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965712" cy="2926430"/>
            <wp:effectExtent b="0" l="0" r="0" t="0"/>
            <wp:docPr id="19316912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5712" cy="292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Obr. 2: Řez dvanáctistěnem rovinou 0AF odpovídající rovině základního poledníku (Bayer 2025)</w:t>
      </w:r>
    </w:p>
    <w:p w:rsidR="00000000" w:rsidDel="00000000" w:rsidP="00000000" w:rsidRDefault="00000000" w:rsidRPr="00000000" w14:paraId="0000005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Poloměr vepsané sféry je označován jako  , z pravoúhlého trojúhelníku vychází </w:t>
      </w:r>
    </w:p>
    <w:p w:rsidR="00000000" w:rsidDel="00000000" w:rsidP="00000000" w:rsidRDefault="00000000" w:rsidRPr="00000000" w14:paraId="0000005D">
      <w:pPr>
        <w:jc w:val="center"/>
        <w:rPr/>
      </w:pPr>
      <m:oMath>
        <m:box>
          <m:boxPr>
            <m:opEmu m:val="1"/>
          </m:boxPr>
          <m:e>
            <m: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</m:t>
        </m:r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/>
              <m:t>α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>ρ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ρ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s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, →ρ=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ρ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s</m:t>
            </m:r>
          </m:sub>
        </m:sSub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</m:t>
        </m:r>
        <m:r>
          <w:rPr/>
          <m:t xml:space="preserve">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/>
              <m:t>α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240" w:lineRule="auto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Sféra řeže dvanáctistěn v bodech ACKSPF, přičemž poloměr je označen jako 0F. Zeměpisou šířku bodů P – T, získáme z , kde γ = 37,3774°. Pro jižní polokouli pak platí symetrie, tedy </w:t>
      </w:r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u</w:t>
      </w:r>
      <w:r w:rsidDel="00000000" w:rsidR="00000000" w:rsidRPr="00000000">
        <w:rPr>
          <w:rFonts w:ascii="Cambria Math" w:cs="Cambria Math" w:eastAsia="Cambria Math" w:hAnsi="Cambria Math"/>
          <w:i w:val="1"/>
          <w:vertAlign w:val="subscript"/>
          <w:rtl w:val="0"/>
        </w:rPr>
        <w:t xml:space="preserve">j</w:t>
      </w:r>
      <w:r w:rsidDel="00000000" w:rsidR="00000000" w:rsidRPr="00000000">
        <w:rPr>
          <w:rFonts w:ascii="Cambria Math" w:cs="Cambria Math" w:eastAsia="Cambria Math" w:hAnsi="Cambria Math"/>
          <w:vertAlign w:val="subscript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= - , odlehlost bodů je v obou případech 72°. Vrcholy G – O jsou dány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a vrcholy F – N se rovnají záporné hodnotě  (Bayer 2025a).</w:t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Gnómická projekce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Gnómická projekce je jedním z azimutálních zobrazení, přičemž promítá ze středu sféry na rovinu, která je k ní tečná v kartografickém pólu. Zobrazovací rovnice v obecné poloze má tvar   </w:t>
      </w:r>
    </w:p>
    <w:p w:rsidR="00000000" w:rsidDel="00000000" w:rsidP="00000000" w:rsidRDefault="00000000" w:rsidRPr="00000000" w14:paraId="00000062">
      <w:pPr>
        <w:jc w:val="center"/>
        <w:rPr>
          <w:rFonts w:ascii="Cambria Math" w:cs="Cambria Math" w:eastAsia="Cambria Math" w:hAnsi="Cambria Math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ρ,ε</m:t>
            </m:r>
          </m:e>
        </m:d>
        <m:r>
          <w:rPr>
            <w:rFonts w:ascii="Cambria Math" w:cs="Cambria Math" w:eastAsia="Cambria Math" w:hAnsi="Cambria Math"/>
          </w:rPr>
          <m:t xml:space="preserve">=(r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90°-š</m:t>
            </m:r>
          </m:e>
        </m:d>
        <m:r>
          <w:rPr>
            <w:rFonts w:ascii="Cambria Math" w:cs="Cambria Math" w:eastAsia="Cambria Math" w:hAnsi="Cambria Math"/>
          </w:rPr>
          <m:t xml:space="preserve"> ,d)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a je vztažena ke kartografickému pólu, proměnné š,d jsou souřadnice bodu. Zobrazovací rovnice v pravoúhlém tvaru jsou</w:t>
      </w:r>
    </w:p>
    <w:p w:rsidR="00000000" w:rsidDel="00000000" w:rsidP="00000000" w:rsidRDefault="00000000" w:rsidRPr="00000000" w14:paraId="00000065">
      <w:pPr>
        <w:spacing w:after="0" w:lineRule="auto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Cambria Math" w:cs="Cambria Math" w:eastAsia="Cambria Math" w:hAnsi="Cambria Math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x,y</m:t>
            </m:r>
          </m:e>
        </m:d>
        <m:r>
          <w:rPr>
            <w:rFonts w:ascii="Cambria Math" w:cs="Cambria Math" w:eastAsia="Cambria Math" w:hAnsi="Cambria Math"/>
          </w:rPr>
          <m:t xml:space="preserve">=(ρ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 d ,ρ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 d) =(r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90°-š</m:t>
            </m:r>
          </m:e>
        </m:d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cos</m:t>
            </m:r>
          </m:e>
        </m:box>
        <m:r>
          <w:rPr>
            <w:rFonts w:ascii="Cambria Math" w:cs="Cambria Math" w:eastAsia="Cambria Math" w:hAnsi="Cambria Math"/>
          </w:rPr>
          <m:t xml:space="preserve">cos d  , r tan⁡(90°-š)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 d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Při zobrazení zeměpisné sítě se díky gnomické projekci zobrazují poledníky jako přímky vycházející z pólů a rovnoběžky jako kružnice. Co se týče rovníku, gnomická projekce ho nedokáže zobrazit, jedná se tedy o polokouli bez rovníku. </w:t>
      </w:r>
    </w:p>
    <w:p w:rsidR="00000000" w:rsidDel="00000000" w:rsidP="00000000" w:rsidRDefault="00000000" w:rsidRPr="00000000" w14:paraId="0000006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jc w:val="both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Výpočty včetně všech potřebných mezivýpočtů s odpovídající přesností a jednotkami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Dvanáctistěn byl vytvořen v programu MATLAB za použití vzorců definovaných v kapitole 2.2. s využitím skriptů z předmětu Matematická kartografie. Pomocí programu byly také vypočítány vlastnosti gnómické projekce. Výpočty jsou založeny na informaci ze zobrazovacích rovnic v pravoúhlém tvaru z kapitoly 2.3. a jejich parciálních derivacích. </w:t>
      </w:r>
    </w:p>
    <w:p w:rsidR="00000000" w:rsidDel="00000000" w:rsidP="00000000" w:rsidRDefault="00000000" w:rsidRPr="00000000" w14:paraId="0000006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/>
      </w:pPr>
      <w:r w:rsidDel="00000000" w:rsidR="00000000" w:rsidRPr="00000000">
        <w:rPr>
          <w:rtl w:val="0"/>
        </w:rPr>
        <w:t xml:space="preserve">Gnomická projekce je definována tímto vztahem:</w:t>
      </w:r>
    </w:p>
    <w:p w:rsidR="00000000" w:rsidDel="00000000" w:rsidP="00000000" w:rsidRDefault="00000000" w:rsidRPr="00000000" w14:paraId="0000006F">
      <w:pPr>
        <w:spacing w:after="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x = R * tan(90° - u)cos v</w:t>
      </w:r>
    </w:p>
    <w:p w:rsidR="00000000" w:rsidDel="00000000" w:rsidP="00000000" w:rsidRDefault="00000000" w:rsidRPr="00000000" w14:paraId="00000071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y = R * tan(90° - u)sin v</w:t>
      </w:r>
    </w:p>
    <w:p w:rsidR="00000000" w:rsidDel="00000000" w:rsidP="00000000" w:rsidRDefault="00000000" w:rsidRPr="00000000" w14:paraId="0000007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/>
      </w:pPr>
      <w:r w:rsidDel="00000000" w:rsidR="00000000" w:rsidRPr="00000000">
        <w:rPr>
          <w:rtl w:val="0"/>
        </w:rPr>
        <w:t xml:space="preserve">Parciální derivace gnomické projekce:</w:t>
      </w:r>
    </w:p>
    <w:p w:rsidR="00000000" w:rsidDel="00000000" w:rsidP="00000000" w:rsidRDefault="00000000" w:rsidRPr="00000000" w14:paraId="0000007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fu=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∂x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∂u</m:t>
            </m:r>
          </m:den>
        </m:f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R*cos(v)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cos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(90°-u)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fv=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∂x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∂v</m:t>
            </m:r>
          </m:den>
        </m:f>
        <m:r>
          <w:rPr>
            <w:rFonts w:ascii="Cambria Math" w:cs="Cambria Math" w:eastAsia="Cambria Math" w:hAnsi="Cambria Math"/>
          </w:rPr>
          <m:t xml:space="preserve">=-R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90°-u</m:t>
            </m:r>
          </m:e>
        </m:d>
        <m:r>
          <w:rPr>
            <w:rFonts w:ascii="Cambria Math" w:cs="Cambria Math" w:eastAsia="Cambria Math" w:hAnsi="Cambria Math"/>
          </w:rPr>
          <m:t xml:space="preserve"> sin(v)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gu=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∂y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∂u</m:t>
            </m:r>
          </m:den>
        </m:f>
        <m:r>
          <w:rPr>
            <w:rFonts w:ascii="Cambria Math" w:cs="Cambria Math" w:eastAsia="Cambria Math" w:hAnsi="Cambria Math"/>
          </w:rPr>
          <m:t xml:space="preserve">=-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R*sin(v)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cos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(u)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gv=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∂y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∂v</m:t>
            </m:r>
          </m:den>
        </m:f>
        <m:r>
          <w:rPr>
            <w:rFonts w:ascii="Cambria Math" w:cs="Cambria Math" w:eastAsia="Cambria Math" w:hAnsi="Cambria Math"/>
          </w:rPr>
          <m:t xml:space="preserve">=-R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90°-u</m:t>
            </m:r>
          </m:e>
        </m:d>
        <m:r>
          <w:rPr>
            <w:rFonts w:ascii="Cambria Math" w:cs="Cambria Math" w:eastAsia="Cambria Math" w:hAnsi="Cambria Math"/>
          </w:rPr>
          <m:t xml:space="preserve"> cos(v)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Měřítko v poledníku a v rovnoběžce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/>
      </w:pPr>
      <w:r w:rsidDel="00000000" w:rsidR="00000000" w:rsidRPr="00000000">
        <w:rPr>
          <w:rtl w:val="0"/>
        </w:rPr>
        <w:t xml:space="preserve">Měřítko poledníku m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a měřítko rovnoběžek m</w:t>
      </w:r>
      <w:r w:rsidDel="00000000" w:rsidR="00000000" w:rsidRPr="00000000">
        <w:rPr>
          <w:vertAlign w:val="subscript"/>
          <w:rtl w:val="0"/>
        </w:rPr>
        <w:t xml:space="preserve">r </w:t>
      </w:r>
      <w:r w:rsidDel="00000000" w:rsidR="00000000" w:rsidRPr="00000000">
        <w:rPr>
          <w:rtl w:val="0"/>
        </w:rPr>
        <w:t xml:space="preserve">je dáno vztahem: </w:t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jc w:val="center"/>
        <w:rPr>
          <w:rFonts w:ascii="Cambria Math" w:cs="Cambria Math" w:eastAsia="Cambria Math" w:hAnsi="Cambria Math"/>
        </w:rPr>
      </w:pP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fu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gu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Cambria Math" w:cs="Cambria Math" w:eastAsia="Cambria Math" w:hAnsi="Cambria Math"/>
        </w:rPr>
      </w:pP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fv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gv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*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cos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u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  <w:t xml:space="preserve">Jedná se o čtverce měřítek, poté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e>
        </m:rad>
      </m:oMath>
      <w:r w:rsidDel="00000000" w:rsidR="00000000" w:rsidRPr="00000000">
        <w:rPr>
          <w:rtl w:val="0"/>
        </w:rPr>
        <w:t xml:space="preserve"> a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r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bSup>
          </m:e>
        </m:rad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Poloosy a,b Tissatovy indikatrix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tl w:val="0"/>
        </w:rPr>
        <w:t xml:space="preserve">Při určování poloos Tissotovy indikatrix v jednoduchém zobrazení odpovídají hlavním paprskům:</w:t>
      </w:r>
    </w:p>
    <w:p w:rsidR="00000000" w:rsidDel="00000000" w:rsidP="00000000" w:rsidRDefault="00000000" w:rsidRPr="00000000" w14:paraId="00000087">
      <w:pPr>
        <w:jc w:val="center"/>
        <w:rPr>
          <w:rFonts w:ascii="Cambria Math" w:cs="Cambria Math" w:eastAsia="Cambria Math" w:hAnsi="Cambria Math"/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a=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p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  <w:color w:val="000000"/>
        </w:rPr>
      </w:pPr>
      <m:oMath>
        <m:r>
          <w:rPr>
            <w:rFonts w:ascii="Cambria Math" w:cs="Cambria Math" w:eastAsia="Cambria Math" w:hAnsi="Cambria Math"/>
            <w:color w:val="000000"/>
          </w:rPr>
          <m:t xml:space="preserve">b=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color w:val="000000"/>
              </w:rPr>
              <m:t xml:space="preserve">r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Úhel ω’ mezi obrazem poledníku a rovnoběžky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/>
      </w:pPr>
      <w:r w:rsidDel="00000000" w:rsidR="00000000" w:rsidRPr="00000000">
        <w:rPr>
          <w:rtl w:val="0"/>
        </w:rPr>
        <w:t xml:space="preserve">Úhel je definován pomocí parciálních derivací:</w:t>
      </w:r>
    </w:p>
    <w:p w:rsidR="00000000" w:rsidDel="00000000" w:rsidP="00000000" w:rsidRDefault="00000000" w:rsidRPr="00000000" w14:paraId="0000008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Cambria Math" w:cs="Cambria Math" w:eastAsia="Cambria Math" w:hAnsi="Cambria Math"/>
        </w:rPr>
      </w:pPr>
      <m:oMath>
        <m:box>
          <m:boxPr>
            <m:opEmu m:val="1"/>
          </m:boxPr>
          <m:e>
            <m:r>
              <m:t>tan</m:t>
            </m:r>
          </m:e>
        </m:box>
        <m:r>
          <w:rPr>
            <w:rFonts w:ascii="Cambria Math" w:cs="Cambria Math" w:eastAsia="Cambria Math" w:hAnsi="Cambria Math"/>
          </w:rPr>
          <m:t xml:space="preserve">tan ω' 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gu fv-fu dv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fu fv+gu gv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Maximální úhlové zkreslení ∆ω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  <w:t xml:space="preserve">Pro maximální úhlové zkreslení platí:</w:t>
      </w:r>
    </w:p>
    <w:p w:rsidR="00000000" w:rsidDel="00000000" w:rsidP="00000000" w:rsidRDefault="00000000" w:rsidRPr="00000000" w14:paraId="00000090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Cambria Math" w:cs="Cambria Math" w:eastAsia="Cambria Math" w:hAnsi="Cambria Math"/>
        </w:rPr>
      </w:pPr>
      <m:oMath>
        <m:box>
          <m:boxPr>
            <m:opEmu m:val="1"/>
          </m:boxPr>
          <m:e>
            <m:r>
              <m:t>sin</m:t>
            </m:r>
          </m:e>
        </m:box>
        <m:r>
          <w:rPr>
            <w:rFonts w:ascii="Cambria Math" w:cs="Cambria Math" w:eastAsia="Cambria Math" w:hAnsi="Cambria Math"/>
          </w:rPr>
          <m:t xml:space="preserve">sin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∆ω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 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b-a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b+a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Měřítko ploch 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rtl w:val="0"/>
        </w:rPr>
        <w:t xml:space="preserve">Měřítko ploch vyjadřuje poměr mezi diferenciálním elementem v obraze a odpovídající element na sféře: </w:t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gu fv-fu gv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u 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92" w:hanging="432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Meridiánová konvergence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/>
      </w:pPr>
      <w:r w:rsidDel="00000000" w:rsidR="00000000" w:rsidRPr="00000000">
        <w:rPr>
          <w:rtl w:val="0"/>
        </w:rPr>
        <w:t xml:space="preserve">Jedná se o úhel mezi obrazem místního poledníku ve zvoleném a obrazem základního poledníku:</w:t>
      </w:r>
    </w:p>
    <w:p w:rsidR="00000000" w:rsidDel="00000000" w:rsidP="00000000" w:rsidRDefault="00000000" w:rsidRPr="00000000" w14:paraId="0000009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c=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>π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-</m:t>
        </m:r>
        <m:box>
          <m:boxPr>
            <m:opEmu m:val="1"/>
            <m:ctrlPr>
              <w:rPr>
                <w:rFonts w:ascii="Cambria Math" w:cs="Cambria Math" w:eastAsia="Cambria Math" w:hAnsi="Cambria Math"/>
              </w:rPr>
            </m:ctrlPr>
          </m:boxPr>
          <m:e>
            <m:r>
              <w:rPr>
                <w:rFonts w:ascii="Cambria Math" w:cs="Cambria Math" w:eastAsia="Cambria Math" w:hAnsi="Cambria Math"/>
              </w:rPr>
              <m:t>arctan</m:t>
            </m:r>
          </m:e>
        </m:box>
        <m:r>
          <w:rPr>
            <w:rFonts w:ascii="Cambria Math" w:cs="Cambria Math" w:eastAsia="Cambria Math" w:hAnsi="Cambria Math"/>
          </w:rPr>
          <m:t xml:space="preserve">arctan</m:t>
        </m:r>
        <m:r>
          <w:rPr/>
          <m:t xml:space="preserve"> </m:t>
        </m:r>
        <m:d>
          <m:dPr>
            <m:begChr m:val="("/>
            <m:endChr m:val=")"/>
            <m:ctrlPr>
              <w:rPr/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fu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gu</m:t>
                </m:r>
              </m:den>
            </m:f>
          </m:e>
        </m:d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Zhodnocení výsledků + závěr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/>
      </w:pPr>
      <w:r w:rsidDel="00000000" w:rsidR="00000000" w:rsidRPr="00000000">
        <w:rPr>
          <w:rtl w:val="0"/>
        </w:rPr>
        <w:t xml:space="preserve">K výpočtu zadaných vlastností gnómické projekce byl zvolen bod Q (Obr. 3). </w:t>
      </w:r>
    </w:p>
    <w:p w:rsidR="00000000" w:rsidDel="00000000" w:rsidP="00000000" w:rsidRDefault="00000000" w:rsidRPr="00000000" w14:paraId="000000A0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7910" cy="4277042"/>
            <wp:effectExtent b="0" l="0" r="0" t="0"/>
            <wp:docPr id="19316912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7910" cy="4277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Obr. 3: Poloha bodu Q</w:t>
      </w:r>
    </w:p>
    <w:p w:rsidR="00000000" w:rsidDel="00000000" w:rsidP="00000000" w:rsidRDefault="00000000" w:rsidRPr="00000000" w14:paraId="000000A2">
      <w:pPr>
        <w:spacing w:after="0" w:lineRule="auto"/>
        <w:rPr/>
      </w:pPr>
      <w:r w:rsidDel="00000000" w:rsidR="00000000" w:rsidRPr="00000000">
        <w:rPr>
          <w:rtl w:val="0"/>
        </w:rPr>
        <w:t xml:space="preserve">Hodnoty byly vypočteny podle vzorců z kapitoly 3. a jsou zobrazeny v tabulce č. 1. </w:t>
      </w:r>
    </w:p>
    <w:p w:rsidR="00000000" w:rsidDel="00000000" w:rsidP="00000000" w:rsidRDefault="00000000" w:rsidRPr="00000000" w14:paraId="000000A3">
      <w:pPr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140.0" w:type="dxa"/>
        <w:jc w:val="center"/>
        <w:tblLayout w:type="fixed"/>
        <w:tblLook w:val="0400"/>
      </w:tblPr>
      <w:tblGrid>
        <w:gridCol w:w="4400"/>
        <w:gridCol w:w="1740"/>
        <w:tblGridChange w:id="0">
          <w:tblGrid>
            <w:gridCol w:w="4400"/>
            <w:gridCol w:w="174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Vlastnosti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výsledná hodnota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Měřítko v poledníku m</w:t>
            </w:r>
            <w:r w:rsidDel="00000000" w:rsidR="00000000" w:rsidRPr="00000000">
              <w:rPr>
                <w:color w:val="000000"/>
                <w:sz w:val="22"/>
                <w:szCs w:val="22"/>
                <w:vertAlign w:val="subscript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1,583593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Měřítko v rovnoběžce m</w:t>
            </w:r>
            <w:r w:rsidDel="00000000" w:rsidR="00000000" w:rsidRPr="00000000">
              <w:rPr>
                <w:color w:val="000000"/>
                <w:sz w:val="22"/>
                <w:szCs w:val="22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1,258409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Tissatova indikatrix poloosa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1,583593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Tissatova indikatrix poloosa 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1,258409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Úhel ω’ mezi obrazem poledníku a rovnoběžky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90°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Maximální úhlové zkreslení ∆ω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13,140444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Měřítko ploch 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1,992808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Meridiánová konvergence 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54°</w:t>
            </w:r>
          </w:p>
        </w:tc>
      </w:tr>
    </w:tbl>
    <w:p w:rsidR="00000000" w:rsidDel="00000000" w:rsidP="00000000" w:rsidRDefault="00000000" w:rsidRPr="00000000" w14:paraId="000000B6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Tab. č. 1: Hodnoty vlastností gnómické projekce vypočtené v prostředí MATLAB</w:t>
      </w:r>
    </w:p>
    <w:p w:rsidR="00000000" w:rsidDel="00000000" w:rsidP="00000000" w:rsidRDefault="00000000" w:rsidRPr="00000000" w14:paraId="000000B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rPr/>
      </w:pPr>
      <w:r w:rsidDel="00000000" w:rsidR="00000000" w:rsidRPr="00000000">
        <w:rPr>
          <w:rtl w:val="0"/>
        </w:rPr>
        <w:t xml:space="preserve">Vypočtené hodnoty byly využity k zakreslení Tissatovy indikatrix (Obr. 4)</w:t>
      </w:r>
    </w:p>
    <w:p w:rsidR="00000000" w:rsidDel="00000000" w:rsidP="00000000" w:rsidRDefault="00000000" w:rsidRPr="00000000" w14:paraId="000000B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498034" cy="3696797"/>
            <wp:effectExtent b="0" l="0" r="0" t="0"/>
            <wp:docPr id="19316912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034" cy="369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Obr. 4: Tissatova indikatrix v bodě Q</w:t>
      </w:r>
    </w:p>
    <w:p w:rsidR="00000000" w:rsidDel="00000000" w:rsidP="00000000" w:rsidRDefault="00000000" w:rsidRPr="00000000" w14:paraId="000000B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jc w:val="both"/>
        <w:rPr/>
      </w:pPr>
      <w:r w:rsidDel="00000000" w:rsidR="00000000" w:rsidRPr="00000000">
        <w:rPr>
          <w:rtl w:val="0"/>
        </w:rPr>
        <w:t xml:space="preserve">V rámci této práce byl vytvořen polyedrický glóbus v podobě pravidelného dvanáctistěnu. Glóbus je v měřítku 1 : 50 000 000, což znamená, že hrana pětiúhleníku je rovna 5,7 cm. Model byl vytisknut na pevný papír a následně byl sestaven dvanáctistěn. Pro zobrazení kontinentů a zeměpisné sítě bylo dle zadání využilo gnómické projekce. V bodě Q byly vypočteny potřebné vlastnosti k zakreslení Tissatovy indikatrix. </w:t>
      </w:r>
    </w:p>
    <w:p w:rsidR="00000000" w:rsidDel="00000000" w:rsidP="00000000" w:rsidRDefault="00000000" w:rsidRPr="00000000" w14:paraId="000000C0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5. Seznam Příloh 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Kontinenty - složká  .txt obsahující body kontinentů 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uv_sd.m</w:t>
      </w:r>
      <w:r w:rsidDel="00000000" w:rsidR="00000000" w:rsidRPr="00000000">
        <w:rPr>
          <w:rtl w:val="0"/>
        </w:rPr>
        <w:t xml:space="preserve"> - převod zeměpisných souřadnic na souřadnice kartografické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u12.m</w:t>
      </w:r>
      <w:r w:rsidDel="00000000" w:rsidR="00000000" w:rsidRPr="00000000">
        <w:rPr>
          <w:rtl w:val="0"/>
        </w:rPr>
        <w:t xml:space="preserve"> - řídící skript pro vytvoření 12 plošek polyedrického glóbu.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severni_polokoule.pdf</w:t>
      </w:r>
      <w:r w:rsidDel="00000000" w:rsidR="00000000" w:rsidRPr="00000000">
        <w:rPr>
          <w:rtl w:val="0"/>
        </w:rPr>
        <w:t xml:space="preserve">  - výstup severní části polyedrického glóbu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jizni_polokoule.pdf</w:t>
      </w:r>
      <w:r w:rsidDel="00000000" w:rsidR="00000000" w:rsidRPr="00000000">
        <w:rPr>
          <w:rtl w:val="0"/>
        </w:rPr>
        <w:t xml:space="preserve"> - výstup jižní polyedrického glóbu</w:t>
      </w:r>
    </w:p>
    <w:p w:rsidR="00000000" w:rsidDel="00000000" w:rsidP="00000000" w:rsidRDefault="00000000" w:rsidRPr="00000000" w14:paraId="000000D5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graticule.m </w:t>
      </w:r>
      <w:r w:rsidDel="00000000" w:rsidR="00000000" w:rsidRPr="00000000">
        <w:rPr>
          <w:rtl w:val="0"/>
        </w:rPr>
        <w:t xml:space="preserve">- funkce pro vytvoření zeměpisné sítě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gnom.m </w:t>
      </w:r>
      <w:r w:rsidDel="00000000" w:rsidR="00000000" w:rsidRPr="00000000">
        <w:rPr>
          <w:rtl w:val="0"/>
        </w:rPr>
        <w:t xml:space="preserve">- skript pro gnómonickou projekci</w:t>
      </w:r>
    </w:p>
    <w:p w:rsidR="00000000" w:rsidDel="00000000" w:rsidP="00000000" w:rsidRDefault="00000000" w:rsidRPr="00000000" w14:paraId="000000D7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gnom_distortion.m </w:t>
      </w:r>
      <w:r w:rsidDel="00000000" w:rsidR="00000000" w:rsidRPr="00000000">
        <w:rPr>
          <w:rtl w:val="0"/>
        </w:rPr>
        <w:t xml:space="preserve">- výpočet parametrů gnóminické projekce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globeFace.m</w:t>
      </w:r>
      <w:r w:rsidDel="00000000" w:rsidR="00000000" w:rsidRPr="00000000">
        <w:rPr>
          <w:rtl w:val="0"/>
        </w:rPr>
        <w:t xml:space="preserve"> - skript k vykreslení všech plošek glóbu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continent.m </w:t>
      </w:r>
      <w:r w:rsidDel="00000000" w:rsidR="00000000" w:rsidRPr="00000000">
        <w:rPr>
          <w:rtl w:val="0"/>
        </w:rPr>
        <w:t xml:space="preserve">- skript pro nahrání kontinetů ze souboru a jejich vykreslení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boundary.m</w:t>
      </w:r>
      <w:r w:rsidDel="00000000" w:rsidR="00000000" w:rsidRPr="00000000">
        <w:rPr>
          <w:rtl w:val="0"/>
        </w:rPr>
        <w:t xml:space="preserve"> - vykreslení hraniční línie</w:t>
      </w:r>
    </w:p>
    <w:p w:rsidR="00000000" w:rsidDel="00000000" w:rsidP="00000000" w:rsidRDefault="00000000" w:rsidRPr="00000000" w14:paraId="000000D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360" w:hanging="360"/>
        <w:rPr/>
      </w:pPr>
      <w:r w:rsidDel="00000000" w:rsidR="00000000" w:rsidRPr="00000000">
        <w:rPr>
          <w:color w:val="000000"/>
          <w:rtl w:val="0"/>
        </w:rPr>
        <w:t xml:space="preserve">Zdroje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Rule="auto"/>
        <w:rPr/>
      </w:pPr>
      <w:r w:rsidDel="00000000" w:rsidR="00000000" w:rsidRPr="00000000">
        <w:rPr>
          <w:rtl w:val="0"/>
        </w:rPr>
        <w:t xml:space="preserve">BAYER, T. (2025a): Konstrukce glóbů na platonských tělesech, návod na cvičení. Přírodovědecká fakulta UK. Dostupné z: </w:t>
      </w:r>
      <w:hyperlink r:id="rId12">
        <w:r w:rsidDel="00000000" w:rsidR="00000000" w:rsidRPr="00000000">
          <w:rPr>
            <w:color w:val="467886"/>
            <w:u w:val="single"/>
            <w:rtl w:val="0"/>
          </w:rPr>
          <w:t xml:space="preserve">https://web.natur.cuni.cz/~bayertom/images/courses/mmk/mmk_cv_2_navod.pdf</w:t>
        </w:r>
      </w:hyperlink>
      <w:r w:rsidDel="00000000" w:rsidR="00000000" w:rsidRPr="00000000">
        <w:rPr>
          <w:rtl w:val="0"/>
        </w:rPr>
        <w:t xml:space="preserve"> [cit. 10. 4. 2025]</w:t>
      </w:r>
    </w:p>
    <w:p w:rsidR="00000000" w:rsidDel="00000000" w:rsidP="00000000" w:rsidRDefault="00000000" w:rsidRPr="00000000" w14:paraId="000000E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s-CZ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Aptos" w:cs="Aptos" w:eastAsia="Aptos" w:hAnsi="Aptos"/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Aptos" w:cs="Aptos" w:eastAsia="Aptos" w:hAnsi="Aptos"/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Aptos" w:cs="Aptos" w:eastAsia="Aptos" w:hAnsi="Aptos"/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Aptos" w:cs="Aptos" w:eastAsia="Aptos" w:hAnsi="Aptos"/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ln" w:default="1">
    <w:name w:val="Normal"/>
    <w:qFormat w:val="1"/>
    <w:rsid w:val="001354C6"/>
  </w:style>
  <w:style w:type="paragraph" w:styleId="Nadpis1">
    <w:name w:val="heading 1"/>
    <w:basedOn w:val="Normln"/>
    <w:next w:val="Normln"/>
    <w:link w:val="Nadpis1Char"/>
    <w:uiPriority w:val="9"/>
    <w:qFormat w:val="1"/>
    <w:rsid w:val="008E7FD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 w:val="1"/>
    <w:unhideWhenUsed w:val="1"/>
    <w:qFormat w:val="1"/>
    <w:rsid w:val="008E7FD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 w:val="1"/>
    <w:unhideWhenUsed w:val="1"/>
    <w:qFormat w:val="1"/>
    <w:rsid w:val="008E7FDC"/>
    <w:pPr>
      <w:keepNext w:val="1"/>
      <w:keepLines w:val="1"/>
      <w:spacing w:after="80" w:before="160"/>
      <w:outlineLvl w:val="2"/>
    </w:pPr>
    <w:rPr>
      <w:rFonts w:asciiTheme="minorHAnsi" w:cstheme="majorBidi" w:eastAsiaTheme="majorEastAsia" w:hAnsiTheme="minorHAnsi"/>
      <w:color w:val="0f4761" w:themeColor="accent1" w:themeShade="0000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 w:val="1"/>
    <w:unhideWhenUsed w:val="1"/>
    <w:qFormat w:val="1"/>
    <w:rsid w:val="008E7FDC"/>
    <w:pPr>
      <w:keepNext w:val="1"/>
      <w:keepLines w:val="1"/>
      <w:spacing w:after="40" w:before="80"/>
      <w:outlineLvl w:val="3"/>
    </w:pPr>
    <w:rPr>
      <w:rFonts w:asciiTheme="minorHAnsi" w:cstheme="majorBidi" w:eastAsiaTheme="majorEastAsia" w:hAnsiTheme="minorHAnsi"/>
      <w:i w:val="1"/>
      <w:iCs w:val="1"/>
      <w:color w:val="0f4761" w:themeColor="accent1" w:themeShade="0000BF"/>
    </w:rPr>
  </w:style>
  <w:style w:type="paragraph" w:styleId="Nadpis5">
    <w:name w:val="heading 5"/>
    <w:basedOn w:val="Normln"/>
    <w:next w:val="Normln"/>
    <w:link w:val="Nadpis5Char"/>
    <w:uiPriority w:val="9"/>
    <w:semiHidden w:val="1"/>
    <w:unhideWhenUsed w:val="1"/>
    <w:qFormat w:val="1"/>
    <w:rsid w:val="008E7FDC"/>
    <w:pPr>
      <w:keepNext w:val="1"/>
      <w:keepLines w:val="1"/>
      <w:spacing w:after="40" w:before="80"/>
      <w:outlineLvl w:val="4"/>
    </w:pPr>
    <w:rPr>
      <w:rFonts w:asciiTheme="minorHAnsi" w:cstheme="majorBidi" w:eastAsiaTheme="majorEastAsia" w:hAnsiTheme="minorHAnsi"/>
      <w:color w:val="0f4761" w:themeColor="accent1" w:themeShade="0000BF"/>
    </w:rPr>
  </w:style>
  <w:style w:type="paragraph" w:styleId="Nadpis6">
    <w:name w:val="heading 6"/>
    <w:basedOn w:val="Normln"/>
    <w:next w:val="Normln"/>
    <w:link w:val="Nadpis6Char"/>
    <w:uiPriority w:val="9"/>
    <w:semiHidden w:val="1"/>
    <w:unhideWhenUsed w:val="1"/>
    <w:qFormat w:val="1"/>
    <w:rsid w:val="008E7FDC"/>
    <w:pPr>
      <w:keepNext w:val="1"/>
      <w:keepLines w:val="1"/>
      <w:spacing w:after="0" w:before="40"/>
      <w:outlineLvl w:val="5"/>
    </w:pPr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paragraph" w:styleId="Nadpis7">
    <w:name w:val="heading 7"/>
    <w:basedOn w:val="Normln"/>
    <w:next w:val="Normln"/>
    <w:link w:val="Nadpis7Char"/>
    <w:uiPriority w:val="9"/>
    <w:semiHidden w:val="1"/>
    <w:unhideWhenUsed w:val="1"/>
    <w:qFormat w:val="1"/>
    <w:rsid w:val="008E7FDC"/>
    <w:pPr>
      <w:keepNext w:val="1"/>
      <w:keepLines w:val="1"/>
      <w:spacing w:after="0" w:before="40"/>
      <w:outlineLvl w:val="6"/>
    </w:pPr>
    <w:rPr>
      <w:rFonts w:asciiTheme="minorHAnsi" w:cstheme="majorBidi" w:eastAsiaTheme="majorEastAsia" w:hAnsiTheme="minorHAnsi"/>
      <w:color w:val="595959" w:themeColor="text1" w:themeTint="0000A6"/>
    </w:rPr>
  </w:style>
  <w:style w:type="paragraph" w:styleId="Nadpis8">
    <w:name w:val="heading 8"/>
    <w:basedOn w:val="Normln"/>
    <w:next w:val="Normln"/>
    <w:link w:val="Nadpis8Char"/>
    <w:uiPriority w:val="9"/>
    <w:semiHidden w:val="1"/>
    <w:unhideWhenUsed w:val="1"/>
    <w:qFormat w:val="1"/>
    <w:rsid w:val="008E7FDC"/>
    <w:pPr>
      <w:keepNext w:val="1"/>
      <w:keepLines w:val="1"/>
      <w:spacing w:after="0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paragraph" w:styleId="Nadpis9">
    <w:name w:val="heading 9"/>
    <w:basedOn w:val="Normln"/>
    <w:next w:val="Normln"/>
    <w:link w:val="Nadpis9Char"/>
    <w:uiPriority w:val="9"/>
    <w:semiHidden w:val="1"/>
    <w:unhideWhenUsed w:val="1"/>
    <w:qFormat w:val="1"/>
    <w:rsid w:val="008E7FDC"/>
    <w:pPr>
      <w:keepNext w:val="1"/>
      <w:keepLines w:val="1"/>
      <w:spacing w:after="0"/>
      <w:outlineLvl w:val="8"/>
    </w:pPr>
    <w:rPr>
      <w:rFonts w:asciiTheme="minorHAnsi" w:cstheme="majorBidi" w:eastAsiaTheme="majorEastAsia" w:hAnsiTheme="minorHAnsi"/>
      <w:color w:val="272727" w:themeColor="text1" w:themeTint="0000D8"/>
    </w:rPr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 w:val="1"/>
    <w:rsid w:val="008E7FD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Nadpis1Char" w:customStyle="1">
    <w:name w:val="Nadpis 1 Char"/>
    <w:basedOn w:val="Standardnpsmoodstavce"/>
    <w:link w:val="Nadpis1"/>
    <w:uiPriority w:val="9"/>
    <w:rsid w:val="008E7FD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Nadpis2Char" w:customStyle="1">
    <w:name w:val="Nadpis 2 Char"/>
    <w:basedOn w:val="Standardnpsmoodstavce"/>
    <w:link w:val="Nadpis2"/>
    <w:uiPriority w:val="9"/>
    <w:semiHidden w:val="1"/>
    <w:rsid w:val="008E7FD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Nadpis3Char" w:customStyle="1">
    <w:name w:val="Nadpis 3 Char"/>
    <w:basedOn w:val="Standardnpsmoodstavce"/>
    <w:link w:val="Nadpis3"/>
    <w:uiPriority w:val="9"/>
    <w:semiHidden w:val="1"/>
    <w:rsid w:val="008E7FDC"/>
    <w:rPr>
      <w:rFonts w:asciiTheme="minorHAnsi" w:cstheme="majorBidi" w:eastAsiaTheme="majorEastAsia" w:hAnsiTheme="minorHAnsi"/>
      <w:color w:val="0f4761" w:themeColor="accent1" w:themeShade="0000BF"/>
      <w:sz w:val="28"/>
      <w:szCs w:val="28"/>
    </w:rPr>
  </w:style>
  <w:style w:type="character" w:styleId="Nadpis4Char" w:customStyle="1">
    <w:name w:val="Nadpis 4 Char"/>
    <w:basedOn w:val="Standardnpsmoodstavce"/>
    <w:link w:val="Nadpis4"/>
    <w:uiPriority w:val="9"/>
    <w:semiHidden w:val="1"/>
    <w:rsid w:val="008E7FDC"/>
    <w:rPr>
      <w:rFonts w:asciiTheme="minorHAnsi" w:cstheme="majorBidi" w:eastAsiaTheme="majorEastAsia" w:hAnsiTheme="minorHAnsi"/>
      <w:i w:val="1"/>
      <w:iCs w:val="1"/>
      <w:color w:val="0f4761" w:themeColor="accent1" w:themeShade="0000BF"/>
    </w:rPr>
  </w:style>
  <w:style w:type="character" w:styleId="Nadpis5Char" w:customStyle="1">
    <w:name w:val="Nadpis 5 Char"/>
    <w:basedOn w:val="Standardnpsmoodstavce"/>
    <w:link w:val="Nadpis5"/>
    <w:uiPriority w:val="9"/>
    <w:semiHidden w:val="1"/>
    <w:rsid w:val="008E7FDC"/>
    <w:rPr>
      <w:rFonts w:asciiTheme="minorHAnsi" w:cstheme="majorBidi" w:eastAsiaTheme="majorEastAsia" w:hAnsiTheme="minorHAnsi"/>
      <w:color w:val="0f4761" w:themeColor="accent1" w:themeShade="0000BF"/>
    </w:rPr>
  </w:style>
  <w:style w:type="character" w:styleId="Nadpis6Char" w:customStyle="1">
    <w:name w:val="Nadpis 6 Char"/>
    <w:basedOn w:val="Standardnpsmoodstavce"/>
    <w:link w:val="Nadpis6"/>
    <w:uiPriority w:val="9"/>
    <w:semiHidden w:val="1"/>
    <w:rsid w:val="008E7FDC"/>
    <w:rPr>
      <w:rFonts w:asciiTheme="minorHAnsi" w:cstheme="majorBidi" w:eastAsiaTheme="majorEastAsia" w:hAnsiTheme="minorHAnsi"/>
      <w:i w:val="1"/>
      <w:iCs w:val="1"/>
      <w:color w:val="595959" w:themeColor="text1" w:themeTint="0000A6"/>
    </w:rPr>
  </w:style>
  <w:style w:type="character" w:styleId="Nadpis7Char" w:customStyle="1">
    <w:name w:val="Nadpis 7 Char"/>
    <w:basedOn w:val="Standardnpsmoodstavce"/>
    <w:link w:val="Nadpis7"/>
    <w:uiPriority w:val="9"/>
    <w:semiHidden w:val="1"/>
    <w:rsid w:val="008E7FDC"/>
    <w:rPr>
      <w:rFonts w:asciiTheme="minorHAnsi" w:cstheme="majorBidi" w:eastAsiaTheme="majorEastAsia" w:hAnsiTheme="minorHAnsi"/>
      <w:color w:val="595959" w:themeColor="text1" w:themeTint="0000A6"/>
    </w:rPr>
  </w:style>
  <w:style w:type="character" w:styleId="Nadpis8Char" w:customStyle="1">
    <w:name w:val="Nadpis 8 Char"/>
    <w:basedOn w:val="Standardnpsmoodstavce"/>
    <w:link w:val="Nadpis8"/>
    <w:uiPriority w:val="9"/>
    <w:semiHidden w:val="1"/>
    <w:rsid w:val="008E7FDC"/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character" w:styleId="Nadpis9Char" w:customStyle="1">
    <w:name w:val="Nadpis 9 Char"/>
    <w:basedOn w:val="Standardnpsmoodstavce"/>
    <w:link w:val="Nadpis9"/>
    <w:uiPriority w:val="9"/>
    <w:semiHidden w:val="1"/>
    <w:rsid w:val="008E7FDC"/>
    <w:rPr>
      <w:rFonts w:asciiTheme="minorHAnsi" w:cstheme="majorBidi" w:eastAsiaTheme="majorEastAsia" w:hAnsiTheme="minorHAnsi"/>
      <w:color w:val="272727" w:themeColor="text1" w:themeTint="0000D8"/>
    </w:rPr>
  </w:style>
  <w:style w:type="character" w:styleId="NzevChar" w:customStyle="1">
    <w:name w:val="Název Char"/>
    <w:basedOn w:val="Standardnpsmoodstavce"/>
    <w:link w:val="Nzev"/>
    <w:uiPriority w:val="10"/>
    <w:rsid w:val="008E7FD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 w:val="1"/>
    <w:rPr>
      <w:rFonts w:ascii="Aptos" w:cs="Aptos" w:eastAsia="Aptos" w:hAnsi="Aptos"/>
      <w:color w:val="595959"/>
      <w:sz w:val="28"/>
      <w:szCs w:val="28"/>
    </w:rPr>
  </w:style>
  <w:style w:type="character" w:styleId="PodnadpisChar" w:customStyle="1">
    <w:name w:val="Podnadpis Char"/>
    <w:basedOn w:val="Standardnpsmoodstavce"/>
    <w:link w:val="Podnadpis"/>
    <w:uiPriority w:val="11"/>
    <w:rsid w:val="008E7FDC"/>
    <w:rPr>
      <w:rFonts w:asciiTheme="minorHAnsi" w:cstheme="majorBidi" w:eastAsiaTheme="majorEastAsia" w:hAnsiTheme="minorHAnsi"/>
      <w:color w:val="595959" w:themeColor="text1" w:themeTint="0000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 w:val="1"/>
    <w:rsid w:val="008E7FD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tChar" w:customStyle="1">
    <w:name w:val="Citát Char"/>
    <w:basedOn w:val="Standardnpsmoodstavce"/>
    <w:link w:val="Citt"/>
    <w:uiPriority w:val="29"/>
    <w:rsid w:val="008E7FDC"/>
    <w:rPr>
      <w:i w:val="1"/>
      <w:iCs w:val="1"/>
      <w:color w:val="404040" w:themeColor="text1" w:themeTint="0000BF"/>
    </w:rPr>
  </w:style>
  <w:style w:type="paragraph" w:styleId="Odstavecseseznamem">
    <w:name w:val="List Paragraph"/>
    <w:basedOn w:val="Normln"/>
    <w:uiPriority w:val="34"/>
    <w:qFormat w:val="1"/>
    <w:rsid w:val="008E7FDC"/>
    <w:pPr>
      <w:ind w:left="720"/>
      <w:contextualSpacing w:val="1"/>
    </w:pPr>
  </w:style>
  <w:style w:type="character" w:styleId="Zdraznnintenzivn">
    <w:name w:val="Intense Emphasis"/>
    <w:basedOn w:val="Standardnpsmoodstavce"/>
    <w:uiPriority w:val="21"/>
    <w:qFormat w:val="1"/>
    <w:rsid w:val="008E7FDC"/>
    <w:rPr>
      <w:i w:val="1"/>
      <w:iCs w:val="1"/>
      <w:color w:val="0f4761" w:themeColor="accent1" w:themeShade="0000BF"/>
    </w:rPr>
  </w:style>
  <w:style w:type="paragraph" w:styleId="Vrazncitt">
    <w:name w:val="Intense Quote"/>
    <w:basedOn w:val="Normln"/>
    <w:next w:val="Normln"/>
    <w:link w:val="VrazncittChar"/>
    <w:uiPriority w:val="30"/>
    <w:qFormat w:val="1"/>
    <w:rsid w:val="008E7FD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VrazncittChar" w:customStyle="1">
    <w:name w:val="Výrazný citát Char"/>
    <w:basedOn w:val="Standardnpsmoodstavce"/>
    <w:link w:val="Vrazncitt"/>
    <w:uiPriority w:val="30"/>
    <w:rsid w:val="008E7FDC"/>
    <w:rPr>
      <w:i w:val="1"/>
      <w:iCs w:val="1"/>
      <w:color w:val="0f4761" w:themeColor="accent1" w:themeShade="0000BF"/>
    </w:rPr>
  </w:style>
  <w:style w:type="character" w:styleId="Odkazintenzivn">
    <w:name w:val="Intense Reference"/>
    <w:basedOn w:val="Standardnpsmoodstavce"/>
    <w:uiPriority w:val="32"/>
    <w:qFormat w:val="1"/>
    <w:rsid w:val="008E7FDC"/>
    <w:rPr>
      <w:b w:val="1"/>
      <w:bCs w:val="1"/>
      <w:smallCaps w:val="1"/>
      <w:color w:val="0f4761" w:themeColor="accent1" w:themeShade="0000BF"/>
      <w:spacing w:val="5"/>
    </w:rPr>
  </w:style>
  <w:style w:type="character" w:styleId="Zstupntext">
    <w:name w:val="Placeholder Text"/>
    <w:basedOn w:val="Standardnpsmoodstavce"/>
    <w:uiPriority w:val="99"/>
    <w:semiHidden w:val="1"/>
    <w:rsid w:val="00D37CBF"/>
    <w:rPr>
      <w:color w:val="666666"/>
    </w:rPr>
  </w:style>
  <w:style w:type="character" w:styleId="Hypertextovodkaz">
    <w:name w:val="Hyperlink"/>
    <w:basedOn w:val="Standardnpsmoodstavce"/>
    <w:uiPriority w:val="99"/>
    <w:unhideWhenUsed w:val="1"/>
    <w:rsid w:val="00FF16E4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FF16E4"/>
    <w:rPr>
      <w:color w:val="605e5c"/>
      <w:shd w:color="auto" w:fill="e1dfdd" w:val="clear"/>
    </w:rPr>
  </w:style>
  <w:style w:type="character" w:styleId="Sledovanodkaz">
    <w:name w:val="FollowedHyperlink"/>
    <w:basedOn w:val="Standardnpsmoodstavce"/>
    <w:uiPriority w:val="99"/>
    <w:semiHidden w:val="1"/>
    <w:unhideWhenUsed w:val="1"/>
    <w:rsid w:val="002019B5"/>
    <w:rPr>
      <w:color w:val="96607d" w:themeColor="followedHyperlink"/>
      <w:u w:val="single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/>
    <w:rPr>
      <w:rFonts w:ascii="Aptos" w:cs="Aptos" w:eastAsia="Aptos" w:hAnsi="Aptos"/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hyperlink" Target="https://web.natur.cuni.cz/~bayertom/images/courses/mmk/mmk_cv_2_navod.pdf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XExVTjTd85hJIePDNBlEP75Egg==">CgMxLjA4AHIhMUJza2dJWm5rd0Q2ZjFTbXEzbGZsVmJuNTlxYlo0TVRq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2025-04-07T08:02:00Z</dcterms:created>
  <dc:creator>Monika Novotná</dc:creator>
</cp:coreProperties>
</file>