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jc w:val="center"/>
      </w:pPr>
      <w:r>
        <w:rPr>
          <w:color w:val="E8437A"/>
          <w:sz w:val="48"/>
          <w:szCs w:val="48"/>
        </w:rPr>
        <w:t xml:space="preserve">★</w:t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4A1942"/>
          <w:sz w:val="44"/>
          <w:szCs w:val="44"/>
        </w:rPr>
        <w:t xml:space="preserve">COMPETITOR ANALYSIS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E8437A"/>
          <w:sz w:val="22"/>
          <w:szCs w:val="22"/>
        </w:rPr>
        <w:t xml:space="preserve">MIDLIFE MAGIC RETREAT — NILSERA / GORANA SANDRIC</w:t>
      </w:r>
    </w:p>
    <w:p>
      <w:pPr>
        <w:spacing w:after="100"/>
        <w:jc w:val="center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Adjacent-space positioning research for Come Home to Yourself.</w:t>
      </w:r>
    </w:p>
    <w:p>
      <w:pPr>
        <w:spacing w:before="8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Frankly Human · Internal use</w:t>
      </w:r>
    </w:p>
    <w:p>
      <w:r>
        <w:br w:type="page"/>
      </w:r>
    </w:p>
    <w:p>
      <w:pPr>
        <w:pStyle w:val="Heading1"/>
        <w:pBdr>
          <w:bottom w:val="single" w:color="E8437A" w:sz="12" w:space="4"/>
        </w:pBdr>
        <w:spacing w:after="240" w:before="480"/>
      </w:pPr>
      <w:r>
        <w:rPr>
          <w:rFonts w:ascii="Arial" w:cs="Arial" w:eastAsia="Arial" w:hAnsi="Arial"/>
          <w:b/>
          <w:bCs/>
          <w:color w:val="4A1942"/>
          <w:sz w:val="32"/>
          <w:szCs w:val="32"/>
        </w:rPr>
        <w:t xml:space="preserve">PROGRAM OVERVIEW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50"/>
        <w:gridCol w:w="6500"/>
      </w:tblGrid>
      <w:tr>
        <w:tc>
          <w:tcPr>
            <w:tcW w:type="dxa" w:w="2850"/>
            <w:shd w:fill="4A1942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500"/>
            <w:shd w:fill="4A1942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850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Operator</w:t>
            </w:r>
          </w:p>
        </w:tc>
        <w:tc>
          <w:tcPr>
            <w:tcW w:type="dxa" w:w="6500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Gorana Sandric, Nilsera (Leadership Development, Organisational Change)</w:t>
            </w:r>
          </w:p>
        </w:tc>
      </w:tr>
      <w:tr>
        <w:tc>
          <w:tcPr>
            <w:tcW w:type="dxa" w:w="2850"/>
            <w:shd w:fill="FAF6F0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Program name</w:t>
            </w:r>
          </w:p>
        </w:tc>
        <w:tc>
          <w:tcPr>
            <w:tcW w:type="dxa" w:w="6500"/>
            <w:shd w:fill="FAF6F0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Midlife Magic Retreat</w:t>
            </w:r>
          </w:p>
        </w:tc>
      </w:tr>
      <w:tr>
        <w:tc>
          <w:tcPr>
            <w:tcW w:type="dxa" w:w="2850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Location</w:t>
            </w:r>
          </w:p>
        </w:tc>
        <w:tc>
          <w:tcPr>
            <w:tcW w:type="dxa" w:w="6500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Andalucía, Spain</w:t>
            </w:r>
          </w:p>
        </w:tc>
      </w:tr>
      <w:tr>
        <w:tc>
          <w:tcPr>
            <w:tcW w:type="dxa" w:w="2850"/>
            <w:shd w:fill="FAF6F0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Dates</w:t>
            </w:r>
          </w:p>
        </w:tc>
        <w:tc>
          <w:tcPr>
            <w:tcW w:type="dxa" w:w="6500"/>
            <w:shd w:fill="FAF6F0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September 2026</w:t>
            </w:r>
          </w:p>
        </w:tc>
      </w:tr>
      <w:tr>
        <w:tc>
          <w:tcPr>
            <w:tcW w:type="dxa" w:w="2850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Duration</w:t>
            </w:r>
          </w:p>
        </w:tc>
        <w:tc>
          <w:tcPr>
            <w:tcW w:type="dxa" w:w="6500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5 days, in-person</w:t>
            </w:r>
          </w:p>
        </w:tc>
      </w:tr>
      <w:tr>
        <w:tc>
          <w:tcPr>
            <w:tcW w:type="dxa" w:w="2850"/>
            <w:shd w:fill="FAF6F0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Price</w:t>
            </w:r>
          </w:p>
        </w:tc>
        <w:tc>
          <w:tcPr>
            <w:tcW w:type="dxa" w:w="6500"/>
            <w:shd w:fill="FAF6F0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€1,600 per person</w:t>
            </w:r>
          </w:p>
        </w:tc>
      </w:tr>
      <w:tr>
        <w:tc>
          <w:tcPr>
            <w:tcW w:type="dxa" w:w="2850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Pricing visibility</w:t>
            </w:r>
          </w:p>
        </w:tc>
        <w:tc>
          <w:tcPr>
            <w:tcW w:type="dxa" w:w="6500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Not shown on the landing page — all CTAs route to "apply" or "contact"</w:t>
            </w:r>
          </w:p>
        </w:tc>
      </w:tr>
      <w:tr>
        <w:tc>
          <w:tcPr>
            <w:tcW w:type="dxa" w:w="2850"/>
            <w:shd w:fill="FAF6F0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Method</w:t>
            </w:r>
          </w:p>
        </w:tc>
        <w:tc>
          <w:tcPr>
            <w:tcW w:type="dxa" w:w="6500"/>
            <w:shd w:fill="FAF6F0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Depth psychology, individual coaching, and group process</w:t>
            </w:r>
          </w:p>
        </w:tc>
      </w:tr>
      <w:tr>
        <w:tc>
          <w:tcPr>
            <w:tcW w:type="dxa" w:w="2850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Entry channel</w:t>
            </w:r>
          </w:p>
        </w:tc>
        <w:tc>
          <w:tcPr>
            <w:tcW w:type="dxa" w:w="6500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LinkedIn thought-leadership essay (also cross-posted to Substack) → landing page → apply/contact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437A" w:sz="12" w:space="4"/>
        </w:pBdr>
        <w:spacing w:after="240" w:before="480"/>
      </w:pPr>
      <w:r>
        <w:rPr>
          <w:rFonts w:ascii="Arial" w:cs="Arial" w:eastAsia="Arial" w:hAnsi="Arial"/>
          <w:b/>
          <w:bCs/>
          <w:color w:val="4A1942"/>
          <w:sz w:val="32"/>
          <w:szCs w:val="32"/>
        </w:rPr>
        <w:t xml:space="preserve">TARGET AUDIENCE</w:t>
      </w:r>
    </w:p>
    <w:p>
      <w:pPr>
        <w:spacing w:after="160"/>
      </w:pPr>
      <w:r>
        <w:rPr>
          <w:rFonts w:ascii="Arial" w:cs="Arial" w:eastAsia="Arial" w:hAnsi="Arial"/>
          <w:i w:val="false"/>
          <w:iCs w:val="false"/>
          <w:color w:val="2B2B2B"/>
          <w:sz w:val="21"/>
          <w:szCs w:val="21"/>
        </w:rPr>
        <w:t xml:space="preserve">Senior women in their 40s and 50s, in a midlife leadership transition. Explicitly framed as not in crisis, high-performing, and often the most experienced, highest-judgment people in their organisation. The essay is careful to separate this audience from anyone in acute distress — the retreat is positioned as proactive and strategic, not remedial.</w:t>
      </w:r>
    </w:p>
    <w:p>
      <w:pPr>
        <w:pStyle w:val="Heading1"/>
        <w:pBdr>
          <w:bottom w:val="single" w:color="E8437A" w:sz="12" w:space="4"/>
        </w:pBdr>
        <w:spacing w:after="240" w:before="480"/>
      </w:pPr>
      <w:r>
        <w:rPr>
          <w:rFonts w:ascii="Arial" w:cs="Arial" w:eastAsia="Arial" w:hAnsi="Arial"/>
          <w:b/>
          <w:bCs/>
          <w:color w:val="4A1942"/>
          <w:sz w:val="32"/>
          <w:szCs w:val="32"/>
        </w:rPr>
        <w:t xml:space="preserve">THE CORE POSITIONING</w:t>
      </w:r>
    </w:p>
    <w:p>
      <w:pPr>
        <w:pBdr>
          <w:left w:val="single" w:color="E8437A" w:sz="18" w:space="8"/>
        </w:pBdr>
        <w:spacing w:after="200" w:before="100"/>
        <w:ind w:left="400"/>
      </w:pPr>
      <w:r>
        <w:rPr>
          <w:rFonts w:ascii="Arial" w:cs="Arial" w:eastAsia="Arial" w:hAnsi="Arial"/>
          <w:i/>
          <w:iCs/>
          <w:color w:val="4A1942"/>
          <w:sz w:val="21"/>
          <w:szCs w:val="21"/>
        </w:rPr>
        <w:t xml:space="preserve">Senior women leaders are not having a crisis. They are outgrowing a version of success that no longer fits who they are.</w:t>
      </w:r>
    </w:p>
    <w:p>
      <w:pPr>
        <w:spacing w:after="160"/>
      </w:pPr>
      <w:r>
        <w:rPr>
          <w:rFonts w:ascii="Arial" w:cs="Arial" w:eastAsia="Arial" w:hAnsi="Arial"/>
          <w:i w:val="false"/>
          <w:iCs w:val="false"/>
          <w:color w:val="2B2B2B"/>
          <w:sz w:val="21"/>
          <w:szCs w:val="21"/>
        </w:rPr>
        <w:t xml:space="preserve">The central move is a reframe away from pathologising language — burnout, midlife crisis — toward a legitimising one: this is a strategic transition, not a personal problem. The essay names a psychological concept ("accumulated mismatch" — the growing gap between a woman's professional identity/persona and who she is actually becoming) and builds the retreat as the answer to that gap.</w:t>
      </w:r>
    </w:p>
    <w:p>
      <w:pPr>
        <w:pBdr>
          <w:left w:val="single" w:color="E8437A" w:sz="18" w:space="8"/>
        </w:pBdr>
        <w:spacing w:after="200" w:before="100"/>
        <w:ind w:left="400"/>
      </w:pPr>
      <w:r>
        <w:rPr>
          <w:rFonts w:ascii="Arial" w:cs="Arial" w:eastAsia="Arial" w:hAnsi="Arial"/>
          <w:i/>
          <w:iCs/>
          <w:color w:val="4A1942"/>
          <w:sz w:val="21"/>
          <w:szCs w:val="21"/>
        </w:rPr>
        <w:t xml:space="preserve">That is not a soft issue or question to address. It is a strategic one.</w:t>
      </w:r>
    </w:p>
    <w:p>
      <w:pPr>
        <w:spacing w:after="160"/>
      </w:pPr>
      <w:r>
        <w:rPr>
          <w:rFonts w:ascii="Arial" w:cs="Arial" w:eastAsia="Arial" w:hAnsi="Arial"/>
          <w:i w:val="false"/>
          <w:iCs w:val="false"/>
          <w:color w:val="2B2B2B"/>
          <w:sz w:val="21"/>
          <w:szCs w:val="21"/>
        </w:rPr>
        <w:t xml:space="preserve">This line does the same job your own "warm clarity with a backbone" positioning does — it pre-empts the reader's instinct to dismiss the offer as therapy-adjacent or indulgent, before they've had the chance to think it.</w:t>
      </w:r>
    </w:p>
    <w:p>
      <w:r>
        <w:br w:type="page"/>
      </w:r>
    </w:p>
    <w:p>
      <w:pPr>
        <w:pStyle w:val="Heading1"/>
        <w:pBdr>
          <w:bottom w:val="single" w:color="E8437A" w:sz="12" w:space="4"/>
        </w:pBdr>
        <w:spacing w:after="240" w:before="480"/>
      </w:pPr>
      <w:r>
        <w:rPr>
          <w:rFonts w:ascii="Arial" w:cs="Arial" w:eastAsia="Arial" w:hAnsi="Arial"/>
          <w:b/>
          <w:bCs/>
          <w:color w:val="4A1942"/>
          <w:sz w:val="32"/>
          <w:szCs w:val="32"/>
        </w:rPr>
        <w:t xml:space="preserve">PROGRAM STRUCTURE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E8437A"/>
          <w:sz w:val="22"/>
          <w:szCs w:val="22"/>
        </w:rPr>
        <w:t xml:space="preserve">Three-touchpoint arc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B2B2B"/>
          <w:sz w:val="21"/>
          <w:szCs w:val="21"/>
        </w:rPr>
        <w:t xml:space="preserve">Before — individual (1:1) coaching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B2B2B"/>
          <w:sz w:val="21"/>
          <w:szCs w:val="21"/>
        </w:rPr>
        <w:t xml:space="preserve">During — group process, five days in Andalucía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B2B2B"/>
          <w:sz w:val="21"/>
          <w:szCs w:val="21"/>
        </w:rPr>
        <w:t xml:space="preserve">After — individual integration, plus an ongoing community via free online sessions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E8437A"/>
          <w:sz w:val="22"/>
          <w:szCs w:val="22"/>
        </w:rPr>
        <w:t xml:space="preserve">The five-day narrative arc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B2B2B"/>
          <w:sz w:val="21"/>
          <w:szCs w:val="21"/>
        </w:rPr>
        <w:t xml:space="preserve">Settling in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B2B2B"/>
          <w:sz w:val="21"/>
          <w:szCs w:val="21"/>
        </w:rPr>
        <w:t xml:space="preserve">Naming what's true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B2B2B"/>
          <w:sz w:val="21"/>
          <w:szCs w:val="21"/>
        </w:rPr>
        <w:t xml:space="preserve">Releasing patterns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B2B2B"/>
          <w:sz w:val="21"/>
          <w:szCs w:val="21"/>
        </w:rPr>
        <w:t xml:space="preserve">Visioning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B2B2B"/>
          <w:sz w:val="21"/>
          <w:szCs w:val="21"/>
        </w:rPr>
        <w:t xml:space="preserve">Integration</w:t>
      </w:r>
    </w:p>
    <w:p>
      <w:pPr>
        <w:spacing w:after="160"/>
      </w:pPr>
      <w:r>
        <w:rPr>
          <w:rFonts w:ascii="Arial" w:cs="Arial" w:eastAsia="Arial" w:hAnsi="Arial"/>
          <w:i w:val="false"/>
          <w:iCs w:val="false"/>
          <w:color w:val="2B2B2B"/>
          <w:sz w:val="21"/>
          <w:szCs w:val="21"/>
        </w:rPr>
        <w:t xml:space="preserve">This is a compressed version of the same shape as the Frankly Human Loop (See → Sense → Shape → Show → Sustain) — independently arrived at, not copied. Worth reading as validation of the arc's structure, not as something original to this competitor.</w:t>
      </w:r>
    </w:p>
    <w:p>
      <w:pPr>
        <w:pStyle w:val="Heading1"/>
        <w:pBdr>
          <w:bottom w:val="single" w:color="E8437A" w:sz="12" w:space="4"/>
        </w:pBdr>
        <w:spacing w:after="240" w:before="480"/>
      </w:pPr>
      <w:r>
        <w:rPr>
          <w:rFonts w:ascii="Arial" w:cs="Arial" w:eastAsia="Arial" w:hAnsi="Arial"/>
          <w:b/>
          <w:bCs/>
          <w:color w:val="4A1942"/>
          <w:sz w:val="32"/>
          <w:szCs w:val="32"/>
        </w:rPr>
        <w:t xml:space="preserve">EXPERIENTIAL POSITIONING</w:t>
      </w:r>
    </w:p>
    <w:p>
      <w:pPr>
        <w:spacing w:after="160"/>
      </w:pPr>
      <w:r>
        <w:rPr>
          <w:rFonts w:ascii="Arial" w:cs="Arial" w:eastAsia="Arial" w:hAnsi="Arial"/>
          <w:i w:val="false"/>
          <w:iCs w:val="false"/>
          <w:color w:val="2B2B2B"/>
          <w:sz w:val="21"/>
          <w:szCs w:val="21"/>
        </w:rPr>
        <w:t xml:space="preserve">The landing page leans heavily sensory and atmospheric — Andalusian patios, lemon trees, firelight, sand play therapy, labyrinth walks. The retreat is sold as an experience of stillness and depth, not a program of skill- or capability-building. "This is not about becoming someone new, it is about hearing yourself again" is the retreat's version of lowering the stakes before asking for commitment — functionally similar to Frankly Human's "draft, not destination," but pointed at a different destination entirely: inward reconnection rather than outward capability.</w:t>
      </w:r>
    </w:p>
    <w:p>
      <w:r>
        <w:br w:type="page"/>
      </w:r>
    </w:p>
    <w:p>
      <w:pPr>
        <w:pStyle w:val="Heading1"/>
        <w:pBdr>
          <w:bottom w:val="single" w:color="E8437A" w:sz="12" w:space="4"/>
        </w:pBdr>
        <w:spacing w:after="240" w:before="480"/>
      </w:pPr>
      <w:r>
        <w:rPr>
          <w:rFonts w:ascii="Arial" w:cs="Arial" w:eastAsia="Arial" w:hAnsi="Arial"/>
          <w:b/>
          <w:bCs/>
          <w:color w:val="4A1942"/>
          <w:sz w:val="32"/>
          <w:szCs w:val="32"/>
        </w:rPr>
        <w:t xml:space="preserve">WHAT'S STRONG — WORTH LEARNING FROM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B2B2B"/>
          <w:sz w:val="21"/>
          <w:szCs w:val="21"/>
        </w:rPr>
        <w:t xml:space="preserve">The non-crisis reframe is executed cleanly, including as an explicit FAQ ("Do I need to be in crisis to join? No.") — a simpler, more scannable version of the same reassurance work Frankly Human's "5 mistakes" opener does through story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B2B2B"/>
          <w:sz w:val="21"/>
          <w:szCs w:val="21"/>
        </w:rPr>
        <w:t xml:space="preserve">The three-touchpoint coaching arc (before/during/after) is a plain-language way to describe a Discovery→Meaning→Action→Integration flow to a buyer who doesn't need the internal framework name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B2B2B"/>
          <w:sz w:val="21"/>
          <w:szCs w:val="21"/>
        </w:rPr>
        <w:t xml:space="preserve">The post-retreat community touchpoint (free recurring online sessions) is a genuinely good retention mechanic — keeps graduates in orbit between one-off high-ticket engagements. Worth considering for D2M or Mewburn graduates.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B2B2B"/>
          <w:sz w:val="21"/>
          <w:szCs w:val="21"/>
        </w:rPr>
        <w:t xml:space="preserve">The comment section on the original LinkedIn essay shows real engagement — senior professionals adding their own reflections and stories, not just liking. Evidence the "sit in tension, invite a real answer" content approach works at scale in this exact adjacent space.</w:t>
      </w:r>
    </w:p>
    <w:p>
      <w:pPr>
        <w:pStyle w:val="Heading1"/>
        <w:pBdr>
          <w:bottom w:val="single" w:color="E8437A" w:sz="12" w:space="4"/>
        </w:pBdr>
        <w:spacing w:after="240" w:before="480"/>
      </w:pPr>
      <w:r>
        <w:rPr>
          <w:rFonts w:ascii="Arial" w:cs="Arial" w:eastAsia="Arial" w:hAnsi="Arial"/>
          <w:b/>
          <w:bCs/>
          <w:color w:val="4A1942"/>
          <w:sz w:val="32"/>
          <w:szCs w:val="32"/>
        </w:rPr>
        <w:t xml:space="preserve">WHERE IT DIFFERS FROM FRANKLY HUMAN — NOT JUST STYLE</w:t>
      </w:r>
    </w:p>
    <w:p>
      <w:pPr>
        <w:spacing w:after="160"/>
      </w:pPr>
      <w:r>
        <w:rPr>
          <w:rFonts w:ascii="Arial" w:cs="Arial" w:eastAsia="Arial" w:hAnsi="Arial"/>
          <w:i w:val="false"/>
          <w:iCs w:val="false"/>
          <w:color w:val="2B2B2B"/>
          <w:sz w:val="21"/>
          <w:szCs w:val="21"/>
        </w:rPr>
        <w:t xml:space="preserve">This is a genuine positioning contrast, not a softer version of Come Home to Yourself: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B2B2B"/>
          <w:sz w:val="21"/>
          <w:szCs w:val="21"/>
        </w:rPr>
        <w:t xml:space="preserve">Nilsera sells healing, renewal, and inward reconnection through depth psychology. Frankly Human sells the judgment and capability to act differently, even in its softest track.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B2B2B"/>
          <w:sz w:val="21"/>
          <w:szCs w:val="21"/>
        </w:rPr>
        <w:t xml:space="preserve">Nilsera is high-touch and sales-conversation-first — no visible pricing, every path leads to "apply" or "contact." Frankly Human's funnel logic runs the opposite direction — free diagnostic first, price named early.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B2B2B"/>
          <w:sz w:val="21"/>
          <w:szCs w:val="21"/>
        </w:rPr>
        <w:t xml:space="preserve">Nilsera's price point (€1,600 for 5 days, single retreat) sits in a different tier and format than Mewburn or D2M — not a useful benchmark for Frankly Human's own pricing, given the different scope and model.</w:t>
      </w:r>
    </w:p>
    <w:p>
      <w:pPr>
        <w:pStyle w:val="Heading1"/>
        <w:pBdr>
          <w:bottom w:val="single" w:color="E8437A" w:sz="12" w:space="4"/>
        </w:pBdr>
        <w:spacing w:after="240" w:before="480"/>
      </w:pPr>
      <w:r>
        <w:rPr>
          <w:rFonts w:ascii="Arial" w:cs="Arial" w:eastAsia="Arial" w:hAnsi="Arial"/>
          <w:b/>
          <w:bCs/>
          <w:color w:val="4A1942"/>
          <w:sz w:val="32"/>
          <w:szCs w:val="32"/>
        </w:rPr>
        <w:t xml:space="preserve">STRATEGIC TAKEAWAYS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B2B2B"/>
          <w:sz w:val="21"/>
          <w:szCs w:val="21"/>
        </w:rPr>
        <w:t xml:space="preserve">This is the third independent data point (alongside Plan B Engine and Gavin Elliott's LinkedIn post) validating parts of the Frankly Human thesis from outside the brand — treat as market signal, not coincidence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B2B2B"/>
          <w:sz w:val="21"/>
          <w:szCs w:val="21"/>
        </w:rPr>
        <w:t xml:space="preserve">Do not blend Nilsera's depth-psychology, atmospheric register into Come Home to Yourself — it is a different, equally legitimate promise, and blurring the two would dilute what Frankly Human is actually for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B2B2B"/>
          <w:sz w:val="21"/>
          <w:szCs w:val="21"/>
        </w:rPr>
        <w:t xml:space="preserve">Consider a lightweight recurring community touchpoint for D2M/Mewburn graduates, modelled on Nilsera's free online sessions, as a retention mechanic between big-ticket engagements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B2B2B"/>
          <w:sz w:val="21"/>
          <w:szCs w:val="21"/>
        </w:rPr>
        <w:t xml:space="preserve">The "not a soft issue, it's a strategic one" wedge is now confirmed working in an adjacent space at real commercial scale — reinforces confidence in Frankly Human's own use of the same distinction across all four tracks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Competitor Analysis — Midlife Magic Retreat  |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/>
        <w:bCs/>
        <w:color w:val="4A1942"/>
        <w:sz w:val="16"/>
        <w:szCs w:val="16"/>
      </w:rPr>
      <w:t xml:space="preserve">FRANKLY HUMAN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2026-07-08T00:07:35.182Z</dcterms:created>
  <dcterms:modified xsi:type="dcterms:W3CDTF">2026-07-08T00:07:35.199Z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