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color w:val="E8437A"/>
          <w:sz w:val="48"/>
          <w:szCs w:val="48"/>
        </w:rPr>
        <w:t xml:space="preserve">★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A1942"/>
          <w:sz w:val="44"/>
          <w:szCs w:val="44"/>
        </w:rPr>
        <w:t xml:space="preserve">THE DESIGN LEADERSHIP DIAGNOSTIC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E8437A"/>
          <w:sz w:val="24"/>
          <w:szCs w:val="24"/>
        </w:rPr>
        <w:t xml:space="preserve">CURRICULUM &amp; METHODOLOGY</w:t>
      </w:r>
    </w:p>
    <w:p>
      <w:pPr>
        <w:spacing w:after="100"/>
        <w:jc w:val="center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entry point into Design-Led: Leader, for Heads of Design and senior design leaders.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4A1942"/>
          <w:sz w:val="20"/>
          <w:szCs w:val="20"/>
        </w:rPr>
        <w:t xml:space="preserve">Frankly Human · Jacinta McMahon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Paid diagnostic — $500</w:t>
      </w:r>
    </w:p>
    <w:p>
      <w:r>
        <w:br w:type="page"/>
      </w:r>
    </w:p>
    <w:p>
      <w:pPr>
        <w:pBdr>
          <w:top w:val="single" w:color="E8437A" w:sz="4" w:space="6"/>
          <w:bottom w:val="single" w:color="E8437A" w:sz="4" w:space="6"/>
          <w:left w:val="single" w:color="E8437A" w:sz="4" w:space="6"/>
          <w:right w:val="single" w:color="E8437A" w:sz="4" w:space="6"/>
        </w:pBdr>
        <w:shd w:fill="FDF0F5" w:val="clear"/>
        <w:spacing w:after="200" w:before="160"/>
      </w:pPr>
      <w:r>
        <w:rPr>
          <w:rFonts w:ascii="Arial" w:cs="Arial" w:eastAsia="Arial" w:hAnsi="Arial"/>
          <w:i/>
          <w:iCs/>
          <w:color w:val="4A1942"/>
          <w:sz w:val="20"/>
          <w:szCs w:val="20"/>
        </w:rPr>
        <w:t xml:space="preserve">A note before this doc: unlike the Practitioner diagnostic, Design-Led: Leader doesn't have a built curriculum yet — the practitioner-level material exists, but the leader-level content was identified as a gap still to be developed. The framework below is a proposed starting point, built to match the tone and architecture of what's already working, not a translation of existing material. Treat it as a draft to pressure-test, not a finished spec.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WHAT IT IS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A 20–30 minute AI-coached conversation (or paid 1:1 intake) that helps senior design leaders name the specific organisational pattern keeping their function positioned as a service department rather than a function that shapes how the business thinks. It is an entry point, not a full program. It produces a diagnosis, not a fix.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Design Leadership Diagnostic 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short, sharp, paid entry-level product ($500 — priced to signal seriousness, not a free lead magnet)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gateway into Design-Led: Leader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contained, executive-level diagnostic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pattern-naming tool scoped to organisational power, not project judgment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Direct, commercially fluent, unflinching about politics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It is NOT: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leadership style quiz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360-degree feedback tool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substitute for executive coaching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Design-Led: Leader replacement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It is the first step.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WHAT PARTICIPANTS LEAVE WITH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clear read on where their real organisational influence sits today, across three levers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specific leadership trap they're caught in, named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named pattern — their "Leadership Influence Profile"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clear line from that pattern to what Design-Led: Leader would address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next right conversation to have with their own leadership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HOW THIS DIFFERS FROM THE PRACTITIONER DIAGNOSTIC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Practitioner diagnostic asks: where did a project's judgment break down? This diagnostic asks a level up: why does the design function itself keep losing the room? The audience isn't asking "am I good at my job" — they're asking "why does the business still treat design as something to be managed, not something that shapes strategy." The tone should carry more weight and less warmth-first framing than the Practitioner version — this audience wants to be taken seriously, fast.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THE FOUR-PHASE 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Before the diagnostic starts — Reframe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Open with an organisational-power story rather than a project-failure story: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"A Head of Design spent eighteen months building a design system the company actually used. Adoption: 90%. Engineering loved it. Then the company set its three-year strategy — and no one thought to ask her into the room."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does the same job the onboarding-flow story does for the Practitioner diagnostic, but the failure is about organisational position, not project quality — the work was excellent and it still didn't buy a seat at the table.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Phase 1 — The Three Levers of Influence (See)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Proposed framework — organisational influence tends to run through three levers: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Budget authority — do you control or meaningfully shape spend, not just execute against someone else's?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Roadmap influence — is design shaping what gets built next, or reacting to a roadmap set elsewhere?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Executive trust — are you in the room when strategy is actually decided, not briefed on it afterward?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Ask the participant to score their function honestly against each lever, with one recent example per lever.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Phase 2 — The Leadership Traps (Sense)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Proposed named patterns senior design leaders fall into: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Service Department Trap — design is brought in to execute a decision already made elsewhere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Feature Factory Manager — measured on velocity and output, not outcomes or strategic contribution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Silent Expert — has the strategic opinion, but has learned not to offer it uninvited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Ask which trap feels most true, and probe: is this something the organisation is doing to them, or something they've started doing to themselves after enough rounds of being overlooked?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Phase 3 — Where the Room Was Lost (Shape)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For the lever and trap identified: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What's one specific meeting or decision you weren't in, that you should have been?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What did you do when you found out? What did you want to do?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What did that cost — the decision's quality, your team's standing, or your own trajectory?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Phase 4 — The Leadership Influence Profile (Show)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diagnostic closes by naming the pattern specifically: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"You've built the credibility. You haven't been given the room."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"Your team executes brilliantly and gets consulted last."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Then a direct line from that pattern to what Design-Led: Leader would need to cover — e.g. a budget-authority gap points toward commercial fluency and business-case-building content; an executive-trust gap points toward stakeholder positioning and the language of influence.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COACHING FLOW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Discovery → Meaning → Action → Integration — same architecture as the Practitioner diagnostic and the Why Workshop, with more weight given to organisational, not personal, framing.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6500"/>
      </w:tblGrid>
      <w:tr>
        <w:tc>
          <w:tcPr>
            <w:tcW w:type="dxa" w:w="2850"/>
            <w:shd w:fill="4A194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500"/>
            <w:shd w:fill="4A194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Discovery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Surface the raw material — the lever scores, the trap, the specific meeting missed</w:t>
            </w:r>
          </w:p>
        </w:tc>
      </w:tr>
      <w:tr>
        <w:tc>
          <w:tcPr>
            <w:tcW w:type="dxa" w:w="285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Meaning</w:t>
            </w:r>
          </w:p>
        </w:tc>
        <w:tc>
          <w:tcPr>
            <w:tcW w:type="dxa" w:w="650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Understand why the gap exists — political, structural, or self-imposed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Action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Name one moment where the gap actually cost something concrete</w:t>
            </w:r>
          </w:p>
        </w:tc>
      </w:tr>
      <w:tr>
        <w:tc>
          <w:tcPr>
            <w:tcW w:type="dxa" w:w="285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50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Name the pattern — the Leadership Influence Profile — and the direction Design-Led: Leader takes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Claude / facilitator behaviours throughout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Skip the warm-up — this audience wants precision fast, not permission to begin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Ask one question at a time, but expect denser answers — let them go long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Never let "politics" or "culture" stand as an unexamined answer — press for the specific mechanism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Distinguish clearly between what the organisation is withholding and what the leader has stopped asking for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Name the pattern specifically and with some edge — this audience will discount anything that sounds like generic leadership-coaching language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Treat the profile as a diagnosis to act on, not a verdict to sit with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PROPOSED FRAMEWORKS — FOR VALIDATION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These frameworks are new, built to match Design-Led's tone. Before this ships, they need pressure-testing against your own experience of what actually determines whether a design leader gets the room.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The three levers of influence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Budget authority, roadmap influence, executive trust. Worth checking: are these the right three, or is there a fourth (e.g. board/investor visibility) that matters more in the contexts your clients operate in?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The three leadership traps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Service Department Trap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Feature Factory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Silent Expert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Worth checking against real client stories — do these match the patterns you actually see in Heads of Design you've worked with, or are there sharper, more specific traps to name instead?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GUARDRAILS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If the participant becomes cynical or defeated ("nothing will ever change here")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"That might be true of this organisation. It's worth knowing whether it's the organisation or the approach — let's look at one specific moment before we decide which."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If the participant wants to name and blame a specific executive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"Let's stay with the pattern — what would need to be true structurally for you to be in that room next time?"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If distress or burnout signals appear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"That sounds like it's costing you more than a seat at a table. I'm glad you said it. Is there someone you can talk this through with today?"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TONE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Warm clarity with a backbone — but pitched higher than the Practitioner diagnostic. Less "let's explore this together," more "here's what I see, tell me if I'm wrong." This audience has spent years being managed gently around the edges of hard conversations; the diagnostic should be the opposite of that.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WHAT COMES NEXT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Design Leadership Diagnostic is the entry point. Design-Led: Leader — group program ($5,000) and executive coaching ($15,000) — is the full offer, with corporate cohort licensing ($25,000–$50,000) as the highest-ceiling revenue line. Unlike Practitioner, there is no self-paced version: this audience needs structured cohort delivery and corporate buyers need accountability mechanisms.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Closing bridge line: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"Would you like to talk about what Design-Led: Leader could do for your seat at the table?"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Design Leadership Diagnostic — Curriculum &amp; Methodology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4A1942"/>
        <w:sz w:val="16"/>
        <w:szCs w:val="16"/>
      </w:rPr>
      <w:t xml:space="preserve">FRANKLY HUMAN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2026-07-03T06:44:11.005Z</dcterms:created>
  <dcterms:modified xsi:type="dcterms:W3CDTF">2026-07-03T06:44:11.006Z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