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color w:val="E8437A"/>
          <w:sz w:val="48"/>
          <w:szCs w:val="48"/>
        </w:rPr>
        <w:t xml:space="preserve">★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4A1942"/>
          <w:sz w:val="48"/>
          <w:szCs w:val="48"/>
        </w:rPr>
        <w:t xml:space="preserve">THE DESIGN THINKING DIAGNOSTIC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E8437A"/>
          <w:sz w:val="24"/>
          <w:szCs w:val="24"/>
        </w:rPr>
        <w:t xml:space="preserve">CURRICULUM &amp; METHODOLOGY</w:t>
      </w:r>
    </w:p>
    <w:p>
      <w:pPr>
        <w:spacing w:after="100"/>
        <w:jc w:val="center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entry point into Design-Led: Practitioner, for mid-weight designers.</w:t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4A1942"/>
          <w:sz w:val="20"/>
          <w:szCs w:val="20"/>
        </w:rPr>
        <w:t xml:space="preserve">Frankly Human · Jacinta McMahon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Warm clarity with a backbone. Commercially fluent.</w:t>
      </w:r>
    </w:p>
    <w:p>
      <w:r>
        <w:br w:type="page"/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THE POINT OF VIEW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Designers who build real product management capability — and get recognised for it — build stronger, more credible leadership careers than designers who don't. Capability is actually being able to do product thinking: prioritising under scarcity, making commercial tradeoffs. Credibility is being recognised as capable of it. Most advice for designers only addresses the second.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This diagnostic exists to locate exactly where a designer's capability, or their credibility for it, is breaking down — not to turn them into a product manager, but to make sure they can't be out-judged by one.</w:t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WHAT IT IS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A 20–30 minute AI-coached conversation that helps mid-weight designers name the specific pattern keeping them in an executor role rather than a strategic one. It is an entry point, not a full program. It produces a diagnosis, not a fix.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The Design Thinking Diagnostic is: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short, sharp, entry-level product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gateway into Design-Led: Practitioner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contained, professional diagnostic experience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pattern-naming tool, not a values-finding 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Direct and commercially fluent, not soft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perfect Claude-powered product — same architecture as the Why Workbook, different content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It is NOT: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personality test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skills audit or portfolio review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full curriculum walkthrough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Design-Led: Practitioner replacement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It is the first step.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1942"/>
          <w:sz w:val="26"/>
          <w:szCs w:val="26"/>
        </w:rPr>
        <w:t xml:space="preserve">WHAT PARTICIPANTS LEAVE WITH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scored view of where their last real project skipped a lens (Desirable / Viable / Feasible)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Their weakest design mindset, named specifically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read on whether their gap is a skill gap, an organisational constraint, or a relationship one — whose buy-in they had, or didn't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named pattern — their "Design Influence Profile"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clear line from that pattern to the module that addresses 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next right question to bring back to their team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1942"/>
          <w:sz w:val="26"/>
          <w:szCs w:val="26"/>
        </w:rPr>
        <w:t xml:space="preserve">WHY THIS ISN'T THE WHY WORKSHOP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The Why Workshop's entry pain is personal: "I don't know what I want." This audience's entry pain is professional: "I keep getting treated as an executor, not a strategic partner." Leading with values language undersells the problem for a designer who wants to be told something sharp about their own effectiveness — so this diagnostic borrows its architecture from the Why Workshop but replaces every values-finding move with a pattern-naming one, grounded in the actual Design-Led curriculum (Module 01 — Foundations) rather than invented content.</w:t>
      </w:r>
    </w:p>
    <w:p>
      <w:r>
        <w:br w:type="page"/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THE FOUR-PHASE FLOW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1942"/>
          <w:sz w:val="26"/>
          <w:szCs w:val="26"/>
        </w:rPr>
        <w:t xml:space="preserve">Before the diagnostic starts — Reframe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Open with the same real-world jolt Module 01 uses to open the full curriculum:</w:t>
      </w:r>
    </w:p>
    <w:p>
      <w:pPr>
        <w:pBdr>
          <w:left w:val="single" w:color="E8437A" w:sz="18" w:space="8"/>
        </w:pBdr>
        <w:spacing w:after="200" w:before="100"/>
        <w:ind w:left="400"/>
      </w:pPr>
      <w:r>
        <w:rPr>
          <w:rFonts w:ascii="Arial" w:cs="Arial" w:eastAsia="Arial" w:hAnsi="Arial"/>
          <w:i/>
          <w:iCs/>
          <w:color w:val="4A1942"/>
          <w:sz w:val="21"/>
          <w:szCs w:val="21"/>
        </w:rPr>
        <w:t xml:space="preserve">"A product team shipped a new onboarding flow. On time. Under budget. Drop-off at step 2 was 34% worse. Nobody had asked why."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This does the same job the "5 Mistakes" frame does in the Why Workshop — it names a failure pattern without blaming the participant, creating safety for honest self-assessment. Claude's equivalent: open with the story, not with a question about them.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1942"/>
          <w:sz w:val="26"/>
          <w:szCs w:val="26"/>
        </w:rPr>
        <w:t xml:space="preserve">Phase 1 — The Three Lenses (See)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Every design decision lives in three lenses: Desirable, Viable, Feasible.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Ask the participant to bring one real, recent project to mind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Score that project against the three lenses — where was each lens genuinely present?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Identify which lens got skipped, and by whom (them, or the org around them)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This is the same scoring activity from Module 01, run as a one-on-one conversation instead of a group activity.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1942"/>
          <w:sz w:val="26"/>
          <w:szCs w:val="26"/>
        </w:rPr>
        <w:t xml:space="preserve">Phase 2 — The Six Mindsets (Sense)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The six design mindsets: empathy first, systems thinking, bias to action, embrace ambiguity, iterate always, communicate intent.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Walk through each mindset briefly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Ask: which is hardest to practise in your organisation — not in yourself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Probe why: is it a personal skill gap, an organisational one, or a relationship one — whose buy-in did you have, or not have, going in?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This distinction matters — it's the difference between "I need to get better," "my organisation doesn't let me," and "I didn't have the right person on side." In a highly political or relationship-oriented organisation, that third option is often the real answer, even for a mid-weight designer who has less formal power to navigate politics with than a Head of Design does. The diagnostic should surface which one is actually true before naming the pattern — this is a lighter-touch version of the same distinction Design-Led: Leader treats as a central framework (Relationship Capital).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1942"/>
          <w:sz w:val="26"/>
          <w:szCs w:val="26"/>
        </w:rPr>
        <w:t xml:space="preserve">Phase 3 — Where Influence Breaks Down (Shape)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Values without actions are just words; skipped lenses without a named cause are just observations. For the lens and mindset identified: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What's one moment recently where this played out?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What did you do? What did you want to do?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Whose support did you have — or not have — going into that moment?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What's the cost of that gap — to the project, the team, or you?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1942"/>
          <w:sz w:val="26"/>
          <w:szCs w:val="26"/>
        </w:rPr>
        <w:t xml:space="preserve">Phase 4 — The Design Influence Profile (Show)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The diagnostic closes by naming the pattern in a single, specific sentence — not a category, a diagnosis:</w:t>
      </w:r>
    </w:p>
    <w:p>
      <w:pPr>
        <w:pBdr>
          <w:left w:val="single" w:color="E8437A" w:sz="18" w:space="8"/>
        </w:pBdr>
        <w:spacing w:after="200" w:before="100"/>
        <w:ind w:left="400"/>
      </w:pPr>
      <w:r>
        <w:rPr>
          <w:rFonts w:ascii="Arial" w:cs="Arial" w:eastAsia="Arial" w:hAnsi="Arial"/>
          <w:i/>
          <w:iCs/>
          <w:color w:val="4A1942"/>
          <w:sz w:val="21"/>
          <w:szCs w:val="21"/>
        </w:rPr>
        <w:t xml:space="preserve">"Strong on craft, invisible at the strategy table."</w:t>
      </w:r>
    </w:p>
    <w:p>
      <w:pPr>
        <w:pBdr>
          <w:left w:val="single" w:color="E8437A" w:sz="18" w:space="8"/>
        </w:pBdr>
        <w:spacing w:after="200" w:before="100"/>
        <w:ind w:left="400"/>
      </w:pPr>
      <w:r>
        <w:rPr>
          <w:rFonts w:ascii="Arial" w:cs="Arial" w:eastAsia="Arial" w:hAnsi="Arial"/>
          <w:i/>
          <w:iCs/>
          <w:color w:val="4A1942"/>
          <w:sz w:val="21"/>
          <w:szCs w:val="21"/>
        </w:rPr>
        <w:t xml:space="preserve">"Your team is a feature factory, and you know it."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Then a direct line from that pattern to where Design-Led addresses it — e.g. a Viable-lens gap points to Module 04 (Strategy); a mindset gap in "bias to action" points to Module 12 (Judgment in Practice).</w:t>
      </w:r>
    </w:p>
    <w:p>
      <w:r>
        <w:br w:type="page"/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COACHING FLOW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Discovery → Meaning → Action → Integration — applied within each phase, same architecture as the Why Workshop.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0"/>
        <w:gridCol w:w="6500"/>
      </w:tblGrid>
      <w:tr>
        <w:tc>
          <w:tcPr>
            <w:tcW w:type="dxa" w:w="2850"/>
            <w:shd w:fill="4A1942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6500"/>
            <w:shd w:fill="4A1942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285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Discovery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Surface the raw material — the project, the lens scores, the mindset gap</w:t>
            </w:r>
          </w:p>
        </w:tc>
      </w:tr>
      <w:tr>
        <w:tc>
          <w:tcPr>
            <w:tcW w:type="dxa" w:w="2850"/>
            <w:shd w:fill="FAF6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Meaning</w:t>
            </w:r>
          </w:p>
        </w:tc>
        <w:tc>
          <w:tcPr>
            <w:tcW w:type="dxa" w:w="6500"/>
            <w:shd w:fill="FAF6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Understand why the gap exists — personal skill or organisational constraint</w:t>
            </w:r>
          </w:p>
        </w:tc>
      </w:tr>
      <w:tr>
        <w:tc>
          <w:tcPr>
            <w:tcW w:type="dxa" w:w="285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Action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Name one moment where the gap actually cost something</w:t>
            </w:r>
          </w:p>
        </w:tc>
      </w:tr>
      <w:tr>
        <w:tc>
          <w:tcPr>
            <w:tcW w:type="dxa" w:w="2850"/>
            <w:shd w:fill="FAF6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6500"/>
            <w:shd w:fill="FAF6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Name the pattern — the Design Influence Profile — and the module that addresses it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1942"/>
          <w:sz w:val="26"/>
          <w:szCs w:val="26"/>
        </w:rPr>
        <w:t xml:space="preserve">Claude behaviours throughout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Ask one question at a 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Reflect back before moving 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Stay direct and commercially fluent — this audience wants precision, not softness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Never let a vague answer stand — press for the actual project, the actual moment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Distinguish clearly between a personal skill gap and an organisational constraint — don't collapse the two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Name the pattern specifically, not generically ("you're strong on craft" beats "you're a good designer")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Treat the profile as a diagnosis to explore, not a verdict</w:t>
      </w:r>
    </w:p>
    <w:p>
      <w:r>
        <w:br w:type="page"/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REFERENCE FRAMEWORKS (FROM MODULE 01 — FOUNDATIONS)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437A"/>
          <w:sz w:val="22"/>
          <w:szCs w:val="22"/>
        </w:rPr>
        <w:t xml:space="preserve">The three lenses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Desirable — does anyone actually want this? Viable — does it work commercially? Feasible — can it actually be built? Every decision lives in all three; most breakdowns trace back to one lens being skipped under pressure.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437A"/>
          <w:sz w:val="22"/>
          <w:szCs w:val="22"/>
        </w:rPr>
        <w:t xml:space="preserve">The six design mindsets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Empathy first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Systems thinking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Bias to action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Embrace ambiguity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Iterate always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Communicate intent</w:t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A NOTE ON POLITICAL, RELATIONSHIP-ORIENTED ORGANISATIONS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This audience typically has less formal power to navigate politics with than a Head of Design does, but the same dynamic applies at a smaller scale — who sponsors a piece of work often matters as much as its quality. The diagnostic surfaces this lightly, via Phase 2 and Phase 3's whose-buy-in-did-you-have questions, rather than making it a standalone framework.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If this pattern comes up strongly and repeatedly across participants, it's a signal worth feeding back into the full Design-Led: Practitioner curriculum — Module 02 (Research) and Module 03 (Analysis) are the natural places to layer in "whose buy-in do you need before you present findings," without turning Practitioner into a politics-first program the way Design-Led: Leader deliberately is.</w:t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GUARDRAILS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437A"/>
          <w:sz w:val="22"/>
          <w:szCs w:val="22"/>
        </w:rPr>
        <w:t xml:space="preserve">If the participant becomes defensive or self-critical</w:t>
      </w:r>
    </w:p>
    <w:p>
      <w:pPr>
        <w:pBdr>
          <w:left w:val="single" w:color="E8437A" w:sz="18" w:space="8"/>
        </w:pBdr>
        <w:spacing w:after="200" w:before="100"/>
        <w:ind w:left="400"/>
      </w:pPr>
      <w:r>
        <w:rPr>
          <w:rFonts w:ascii="Arial" w:cs="Arial" w:eastAsia="Arial" w:hAnsi="Arial"/>
          <w:i/>
          <w:iCs/>
          <w:color w:val="4A1942"/>
          <w:sz w:val="21"/>
          <w:szCs w:val="21"/>
        </w:rPr>
        <w:t xml:space="preserve">"This isn't about whether you're good at your job. It's about where the system around you makes good judgment harder. Let's find the actual moment."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437A"/>
          <w:sz w:val="22"/>
          <w:szCs w:val="22"/>
        </w:rPr>
        <w:t xml:space="preserve">If the participant tries to blame a colleague or leader by name</w:t>
      </w:r>
    </w:p>
    <w:p>
      <w:pPr>
        <w:pBdr>
          <w:left w:val="single" w:color="E8437A" w:sz="18" w:space="8"/>
        </w:pBdr>
        <w:spacing w:after="200" w:before="100"/>
        <w:ind w:left="400"/>
      </w:pPr>
      <w:r>
        <w:rPr>
          <w:rFonts w:ascii="Arial" w:cs="Arial" w:eastAsia="Arial" w:hAnsi="Arial"/>
          <w:i/>
          <w:iCs/>
          <w:color w:val="4A1942"/>
          <w:sz w:val="21"/>
          <w:szCs w:val="21"/>
        </w:rPr>
        <w:t xml:space="preserve">"Let's keep this about the pattern, not the person — what would need to be true structurally for this not to happen again?"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437A"/>
          <w:sz w:val="22"/>
          <w:szCs w:val="22"/>
        </w:rPr>
        <w:t xml:space="preserve">If distress or burnout signals appear</w:t>
      </w:r>
    </w:p>
    <w:p>
      <w:pPr>
        <w:pBdr>
          <w:left w:val="single" w:color="E8437A" w:sz="18" w:space="8"/>
        </w:pBdr>
        <w:spacing w:after="200" w:before="100"/>
        <w:ind w:left="400"/>
      </w:pPr>
      <w:r>
        <w:rPr>
          <w:rFonts w:ascii="Arial" w:cs="Arial" w:eastAsia="Arial" w:hAnsi="Arial"/>
          <w:i/>
          <w:iCs/>
          <w:color w:val="4A1942"/>
          <w:sz w:val="21"/>
          <w:szCs w:val="21"/>
        </w:rPr>
        <w:t xml:space="preserve">"That sounds like more than a workflow problem. I'm glad you said it. We can come back to the diagnostic — is there someone you can talk this through with today?"</w:t>
      </w:r>
    </w:p>
    <w:p>
      <w:r>
        <w:br w:type="page"/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TONE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Warm clarity with a backbone — commercially fluent, with a light wink. This audience responds to precision and a little edge, not encouragement for its own sake. The diagnostic should feel like being read accurately by someone who's done the job, not like a personality quiz.</w:t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WHAT COMES NEXT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The Design Thinking Diagnostic is the entry point. Design-Led: Practitioner is the full 13-module journey — Foundations, Research, Analysis, Strategy, Product, DevEx &amp; Product Intelligence, Service Design, Information Architecture, Conversational UI, AI-Era Design, Data &amp; Decisions, Judgment in Practice, and Capstone/Integration. The Design Influence Profile a participant leaves with becomes the reason they enrol in the specific module that addresses their named gap.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Closing bridge line:</w:t>
      </w:r>
    </w:p>
    <w:p>
      <w:pPr>
        <w:pBdr>
          <w:left w:val="single" w:color="E8437A" w:sz="18" w:space="8"/>
        </w:pBdr>
        <w:spacing w:after="200" w:before="100"/>
        <w:ind w:left="400"/>
      </w:pPr>
      <w:r>
        <w:rPr>
          <w:rFonts w:ascii="Arial" w:cs="Arial" w:eastAsia="Arial" w:hAnsi="Arial"/>
          <w:i/>
          <w:iCs/>
          <w:color w:val="4A1942"/>
          <w:sz w:val="21"/>
          <w:szCs w:val="21"/>
        </w:rPr>
        <w:t xml:space="preserve">"Would you like to continue into Design-Led: Practitioner next?"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Design Thinking Diagnostic — Curriculum &amp; Methodology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4A1942"/>
        <w:sz w:val="16"/>
        <w:szCs w:val="16"/>
      </w:rPr>
      <w:t xml:space="preserve">FRANKLY HUMAN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2026-07-03T06:51:31.506Z</dcterms:created>
  <dcterms:modified xsi:type="dcterms:W3CDTF">2026-07-03T06:51:31.506Z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