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color w:val="E8437A"/>
          <w:sz w:val="48"/>
          <w:szCs w:val="48"/>
        </w:rPr>
        <w:t xml:space="preserve">★</w:t>
      </w:r>
    </w:p>
    <w:p>
      <w:pPr>
        <w:spacing w:after="100" w:before="200"/>
        <w:jc w:val="center"/>
      </w:pPr>
      <w:r>
        <w:rPr>
          <w:rFonts w:ascii="Arial" w:cs="Arial" w:eastAsia="Arial" w:hAnsi="Arial"/>
          <w:b/>
          <w:bCs/>
          <w:color w:val="4A1942"/>
          <w:sz w:val="52"/>
          <w:szCs w:val="52"/>
        </w:rPr>
        <w:t xml:space="preserve">FRANKLY HUMAN</w:t>
      </w:r>
    </w:p>
    <w:p>
      <w:pPr>
        <w:spacing w:after="400"/>
        <w:jc w:val="center"/>
      </w:pPr>
      <w:r>
        <w:rPr>
          <w:rFonts w:ascii="Arial" w:cs="Arial" w:eastAsia="Arial" w:hAnsi="Arial"/>
          <w:i/>
          <w:iCs/>
          <w:color w:val="E8437A"/>
          <w:sz w:val="24"/>
          <w:szCs w:val="24"/>
        </w:rPr>
        <w:t xml:space="preserve">POSITIONING &amp; ELEVATOR PITCH</w:t>
      </w:r>
    </w:p>
    <w:p>
      <w:pPr>
        <w:spacing w:after="100"/>
        <w:jc w:val="center"/>
      </w:pPr>
      <w:r>
        <w:rPr>
          <w:rFonts w:ascii="Arial" w:cs="Arial" w:eastAsia="Arial" w:hAnsi="Arial"/>
          <w:b/>
          <w:bCs/>
          <w:color w:val="4A1942"/>
          <w:sz w:val="20"/>
          <w:szCs w:val="20"/>
        </w:rPr>
        <w:t xml:space="preserve">Jacinta McMahon</w:t>
      </w:r>
    </w:p>
    <w:p>
      <w:pPr>
        <w:jc w:val="center"/>
      </w:pPr>
      <w:r>
        <w:rPr>
          <w:rFonts w:ascii="Arial" w:cs="Arial" w:eastAsia="Arial" w:hAnsi="Arial"/>
          <w:i/>
          <w:iCs/>
          <w:color w:val="888888"/>
          <w:sz w:val="18"/>
          <w:szCs w:val="18"/>
        </w:rPr>
        <w:t xml:space="preserve">2026 Edition</w:t>
      </w:r>
    </w:p>
    <w:p>
      <w:r>
        <w:br w:type="page"/>
      </w:r>
    </w:p>
    <w:p>
      <w:pPr>
        <w:pStyle w:val="Heading1"/>
        <w:pBdr>
          <w:bottom w:val="single" w:color="E8437A" w:sz="12" w:space="4"/>
        </w:pBdr>
        <w:spacing w:after="240" w:before="480"/>
      </w:pPr>
      <w:r>
        <w:rPr>
          <w:rFonts w:ascii="Arial" w:cs="Arial" w:eastAsia="Arial" w:hAnsi="Arial"/>
          <w:b/>
          <w:bCs/>
          <w:color w:val="4A1942"/>
          <w:sz w:val="32"/>
          <w:szCs w:val="32"/>
        </w:rPr>
        <w:t xml:space="preserve">THE 15-SECOND VERSION</w:t>
      </w:r>
    </w:p>
    <w:p>
      <w:pPr>
        <w:spacing w:after="160"/>
      </w:pPr>
      <w:r>
        <w:rPr>
          <w:rFonts w:ascii="Arial" w:cs="Arial" w:eastAsia="Arial" w:hAnsi="Arial"/>
          <w:i w:val="false"/>
          <w:iCs w:val="false"/>
          <w:color w:val="2B2B2B"/>
          <w:sz w:val="21"/>
          <w:szCs w:val="21"/>
        </w:rPr>
        <w:t xml:space="preserve">For verbal use — networking, conference conversations, a cold open when someone asks "so what do you do."</w:t>
      </w:r>
    </w:p>
    <w:p>
      <w:pPr>
        <w:pBdr>
          <w:top w:val="single" w:color="E8437A" w:sz="4" w:space="10"/>
          <w:bottom w:val="single" w:color="E8437A" w:sz="4" w:space="10"/>
          <w:left w:val="single" w:color="E8437A" w:sz="4" w:space="10"/>
          <w:right w:val="single" w:color="E8437A" w:sz="4" w:space="10"/>
        </w:pBdr>
        <w:shd w:fill="FDF0F5" w:val="clear"/>
        <w:spacing w:after="240" w:before="160"/>
      </w:pPr>
      <w:r>
        <w:rPr>
          <w:rFonts w:ascii="Arial" w:cs="Arial" w:eastAsia="Arial" w:hAnsi="Arial"/>
          <w:b/>
          <w:bCs/>
          <w:color w:val="4A1942"/>
          <w:sz w:val="26"/>
          <w:szCs w:val="26"/>
        </w:rPr>
        <w:t xml:space="preserve">Frankly Human helps people stop running someone else's playbook and build a life, a business, or a design leadership career that's actually theirs. Four tracks, one practice: name the pattern, then build past it.</w:t>
      </w:r>
    </w:p>
    <w:p>
      <w:pPr>
        <w:pStyle w:val="Heading1"/>
        <w:pBdr>
          <w:bottom w:val="single" w:color="E8437A" w:sz="12" w:space="4"/>
        </w:pBdr>
        <w:spacing w:after="240" w:before="480"/>
      </w:pPr>
      <w:r>
        <w:rPr>
          <w:rFonts w:ascii="Arial" w:cs="Arial" w:eastAsia="Arial" w:hAnsi="Arial"/>
          <w:b/>
          <w:bCs/>
          <w:color w:val="4A1942"/>
          <w:sz w:val="32"/>
          <w:szCs w:val="32"/>
        </w:rPr>
        <w:t xml:space="preserve">THE FULL ELEVATOR PITCH</w:t>
      </w:r>
    </w:p>
    <w:p>
      <w:pPr>
        <w:spacing w:after="160"/>
      </w:pPr>
      <w:r>
        <w:rPr>
          <w:rFonts w:ascii="Arial" w:cs="Arial" w:eastAsia="Arial" w:hAnsi="Arial"/>
          <w:i w:val="false"/>
          <w:iCs w:val="false"/>
          <w:color w:val="2B2B2B"/>
          <w:sz w:val="21"/>
          <w:szCs w:val="21"/>
        </w:rPr>
        <w:t xml:space="preserve">For written use — a bio, a website, an introduction with more room to land.</w:t>
      </w:r>
    </w:p>
    <w:p>
      <w:pPr>
        <w:pBdr>
          <w:left w:val="single" w:color="E8437A" w:sz="18" w:space="8"/>
        </w:pBdr>
        <w:spacing w:after="200" w:before="100"/>
        <w:ind w:left="400"/>
      </w:pPr>
      <w:r>
        <w:rPr>
          <w:rFonts w:ascii="Arial" w:cs="Arial" w:eastAsia="Arial" w:hAnsi="Arial"/>
          <w:b/>
          <w:bCs/>
          <w:i/>
          <w:iCs/>
          <w:color w:val="4A1942"/>
          <w:sz w:val="21"/>
          <w:szCs w:val="21"/>
        </w:rPr>
        <w:t xml:space="preserve">Most people are living inside a playbook they never chose — in their life, their business, their craft, or their organisation — and have never been taught how to build something that's actually theirs instead.</w:t>
      </w:r>
    </w:p>
    <w:p>
      <w:pPr>
        <w:pBdr>
          <w:left w:val="single" w:color="E8437A" w:sz="18" w:space="8"/>
        </w:pBdr>
        <w:spacing w:after="200" w:before="100"/>
        <w:ind w:left="400"/>
      </w:pPr>
      <w:r>
        <w:rPr>
          <w:rFonts w:ascii="Arial" w:cs="Arial" w:eastAsia="Arial" w:hAnsi="Arial"/>
          <w:b w:val="false"/>
          <w:bCs w:val="false"/>
          <w:i/>
          <w:iCs/>
          <w:color w:val="4A1942"/>
          <w:sz w:val="21"/>
          <w:szCs w:val="21"/>
        </w:rPr>
        <w:t xml:space="preserve">Frankly Human is a practice for people done deferring to someone else's playbook, wherever it shows up. Using the same diagnostic method across every context — a guided reflection that produces a compass, not a contract — we help people name the specific pattern holding them back and build past it, not with more information, but with real reps and honest reflection. For the Design-Led tracks specifically, that pattern has a sharper edge: AI made execution cheap, judgment is what's left, and most designers have never been taught to build it deliberately.</w:t>
      </w:r>
    </w:p>
    <w:p>
      <w:pPr>
        <w:pBdr>
          <w:left w:val="single" w:color="E8437A" w:sz="18" w:space="8"/>
        </w:pBdr>
        <w:spacing w:after="200" w:before="100"/>
        <w:ind w:left="400"/>
      </w:pPr>
      <w:r>
        <w:rPr>
          <w:rFonts w:ascii="Arial" w:cs="Arial" w:eastAsia="Arial" w:hAnsi="Arial"/>
          <w:b w:val="false"/>
          <w:bCs w:val="false"/>
          <w:i/>
          <w:iCs/>
          <w:color w:val="4A1942"/>
          <w:sz w:val="21"/>
          <w:szCs w:val="21"/>
        </w:rPr>
        <w:t xml:space="preserve">Come Home to Yourself is for people who've lost the thread of their own life. Regional Business Leader is for people building a business outside the city, on their own terms. Design-Led: Practitioner is for designers tired of being executors instead of strategists. Design-Led: Leader is for design leaders who've built the credibility and still can't get the room.</w:t>
      </w:r>
    </w:p>
    <w:p>
      <w:pPr>
        <w:pBdr>
          <w:left w:val="single" w:color="E8437A" w:sz="18" w:space="8"/>
        </w:pBdr>
        <w:spacing w:after="200" w:before="100"/>
        <w:ind w:left="400"/>
      </w:pPr>
      <w:r>
        <w:rPr>
          <w:rFonts w:ascii="Arial" w:cs="Arial" w:eastAsia="Arial" w:hAnsi="Arial"/>
          <w:b/>
          <w:bCs/>
          <w:i/>
          <w:iCs/>
          <w:color w:val="4A1942"/>
          <w:sz w:val="21"/>
          <w:szCs w:val="21"/>
        </w:rPr>
        <w:t xml:space="preserve">Four audiences. One method. The same honest question underneath most of it: what's actually worth doing — and are you the one deciding?</w:t>
      </w:r>
    </w:p>
    <w:p>
      <w:r>
        <w:br w:type="page"/>
      </w:r>
    </w:p>
    <w:p>
      <w:pPr>
        <w:pStyle w:val="Heading1"/>
        <w:pBdr>
          <w:bottom w:val="single" w:color="E8437A" w:sz="12" w:space="4"/>
        </w:pBdr>
        <w:spacing w:after="240" w:before="480"/>
      </w:pPr>
      <w:r>
        <w:rPr>
          <w:rFonts w:ascii="Arial" w:cs="Arial" w:eastAsia="Arial" w:hAnsi="Arial"/>
          <w:b/>
          <w:bCs/>
          <w:color w:val="4A1942"/>
          <w:sz w:val="32"/>
          <w:szCs w:val="32"/>
        </w:rPr>
        <w:t xml:space="preserve">THE COMMON THREAD</w:t>
      </w:r>
    </w:p>
    <w:p>
      <w:pPr>
        <w:spacing w:after="160"/>
      </w:pPr>
      <w:r>
        <w:rPr>
          <w:rFonts w:ascii="Arial" w:cs="Arial" w:eastAsia="Arial" w:hAnsi="Arial"/>
          <w:i w:val="false"/>
          <w:iCs w:val="false"/>
          <w:color w:val="2B2B2B"/>
          <w:sz w:val="21"/>
          <w:szCs w:val="21"/>
        </w:rPr>
        <w:t xml:space="preserve">Four tracks, one coherent body of work. Here's what actually ties them together — useful for anyone (including future-you) who needs to be reminded this isn't four separate businesses wearing one name.</w:t>
      </w:r>
    </w:p>
    <w:p>
      <w:pPr>
        <w:pStyle w:val="Heading2"/>
        <w:spacing w:after="160" w:before="320"/>
      </w:pPr>
      <w:r>
        <w:rPr>
          <w:rFonts w:ascii="Arial" w:cs="Arial" w:eastAsia="Arial" w:hAnsi="Arial"/>
          <w:b/>
          <w:bCs/>
          <w:color w:val="4A1942"/>
          <w:sz w:val="26"/>
          <w:szCs w:val="26"/>
        </w:rPr>
        <w:t xml:space="preserve">1. One method, two theses</w:t>
      </w:r>
    </w:p>
    <w:p>
      <w:pPr>
        <w:spacing w:after="160"/>
      </w:pPr>
      <w:r>
        <w:rPr>
          <w:rFonts w:ascii="Arial" w:cs="Arial" w:eastAsia="Arial" w:hAnsi="Arial"/>
          <w:i w:val="false"/>
          <w:iCs w:val="false"/>
          <w:color w:val="2B2B2B"/>
          <w:sz w:val="21"/>
          <w:szCs w:val="21"/>
        </w:rPr>
        <w:t xml:space="preserve">Come Home to Yourself and Regional Business Leader are about building a life or business that's actually yours, not the one that happened to you or the one a playbook prescribed. Design-Led: Practitioner and Design-Led: Leader are about something sharper, specific to that craft and moment: AI compressed the execution layer of design and product work, and judgment is what's left. What's shared across all four is the underlying move — naming the specific pattern holding someone back, then building past it through real reps, not more information.</w:t>
      </w:r>
    </w:p>
    <w:p>
      <w:pPr>
        <w:pStyle w:val="Heading2"/>
        <w:spacing w:after="160" w:before="320"/>
      </w:pPr>
      <w:r>
        <w:rPr>
          <w:rFonts w:ascii="Arial" w:cs="Arial" w:eastAsia="Arial" w:hAnsi="Arial"/>
          <w:b/>
          <w:bCs/>
          <w:color w:val="4A1942"/>
          <w:sz w:val="26"/>
          <w:szCs w:val="26"/>
        </w:rPr>
        <w:t xml:space="preserve">2. Same methodology architecture, reused deliberately</w:t>
      </w:r>
    </w:p>
    <w:p>
      <w:pPr>
        <w:spacing w:after="160"/>
      </w:pPr>
      <w:r>
        <w:rPr>
          <w:rFonts w:ascii="Arial" w:cs="Arial" w:eastAsia="Arial" w:hAnsi="Arial"/>
          <w:i w:val="false"/>
          <w:iCs w:val="false"/>
          <w:color w:val="2B2B2B"/>
          <w:sz w:val="21"/>
          <w:szCs w:val="21"/>
        </w:rPr>
        <w:t xml:space="preserve">Every track opens with an AI-coached diagnostic — the Why Workbook, the Business Why Workshop, the Design Thinking Diagnostic, the Design Leadership Diagnostic — and runs the same coaching flow: Discovery → Meaning → Action → Integration. Every diagnostic produces the same shape of output: a named statement or pattern that becomes the anchor for the full program that follows. That's not four separate products. It's one method, proven once, applied four times.</w:t>
      </w:r>
    </w:p>
    <w:p>
      <w:pPr>
        <w:pStyle w:val="Heading2"/>
        <w:spacing w:after="160" w:before="320"/>
      </w:pPr>
      <w:r>
        <w:rPr>
          <w:rFonts w:ascii="Arial" w:cs="Arial" w:eastAsia="Arial" w:hAnsi="Arial"/>
          <w:b/>
          <w:bCs/>
          <w:color w:val="4A1942"/>
          <w:sz w:val="26"/>
          <w:szCs w:val="26"/>
        </w:rPr>
        <w:t xml:space="preserve">3. Same tone and ethos throughout</w:t>
      </w:r>
    </w:p>
    <w:p>
      <w:pPr>
        <w:spacing w:after="160"/>
      </w:pPr>
      <w:r>
        <w:rPr>
          <w:rFonts w:ascii="Arial" w:cs="Arial" w:eastAsia="Arial" w:hAnsi="Arial"/>
          <w:i w:val="false"/>
          <w:iCs w:val="false"/>
          <w:color w:val="2B2B2B"/>
          <w:sz w:val="21"/>
          <w:szCs w:val="21"/>
        </w:rPr>
        <w:t xml:space="preserve">Warm clarity with a backbone. "This is a draft, not a destination." A compass, not a contract. A thinking partner, not a guru. Every track carries the same emotional register even as the vocabulary shifts from values language to commercial language.</w:t>
      </w:r>
    </w:p>
    <w:p>
      <w:pPr>
        <w:pStyle w:val="Heading2"/>
        <w:spacing w:after="160" w:before="320"/>
      </w:pPr>
      <w:r>
        <w:rPr>
          <w:rFonts w:ascii="Arial" w:cs="Arial" w:eastAsia="Arial" w:hAnsi="Arial"/>
          <w:b/>
          <w:bCs/>
          <w:color w:val="4A1942"/>
          <w:sz w:val="26"/>
          <w:szCs w:val="26"/>
        </w:rPr>
        <w:t xml:space="preserve">4. Same proof of concept — you</w:t>
      </w:r>
    </w:p>
    <w:p>
      <w:pPr>
        <w:spacing w:after="160"/>
      </w:pPr>
      <w:r>
        <w:rPr>
          <w:rFonts w:ascii="Arial" w:cs="Arial" w:eastAsia="Arial" w:hAnsi="Arial"/>
          <w:i w:val="false"/>
          <w:iCs w:val="false"/>
          <w:color w:val="2B2B2B"/>
          <w:sz w:val="21"/>
          <w:szCs w:val="21"/>
        </w:rPr>
        <w:t xml:space="preserve">Not just Regional Business Leader's origin story. A corporate design leadership career, a regional life built on your own terms, a craft-level design practice, and a business, all at once. That combination is unusual enough to be the actual credibility behind all four tracks, not just a nice biographical detail on one of them.</w:t>
      </w:r>
    </w:p>
    <w:p>
      <w:r>
        <w:br w:type="page"/>
      </w:r>
    </w:p>
    <w:p>
      <w:pPr>
        <w:pStyle w:val="Heading1"/>
        <w:pBdr>
          <w:bottom w:val="single" w:color="E8437A" w:sz="12" w:space="4"/>
        </w:pBdr>
        <w:spacing w:after="240" w:before="480"/>
      </w:pPr>
      <w:r>
        <w:rPr>
          <w:rFonts w:ascii="Arial" w:cs="Arial" w:eastAsia="Arial" w:hAnsi="Arial"/>
          <w:b/>
          <w:bCs/>
          <w:color w:val="4A1942"/>
          <w:sz w:val="32"/>
          <w:szCs w:val="32"/>
        </w:rPr>
        <w:t xml:space="preserve">THE FOUR TRACKS AT A GLANCE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600"/>
        <w:gridCol w:w="2650"/>
      </w:tblGrid>
      <w:tr>
        <w:tc>
          <w:tcPr>
            <w:tcW w:type="dxa" w:w="1700"/>
            <w:shd w:fill="4A1942" w:val="clear"/>
          </w:tcPr>
          <w:p>
            <w:r>
              <w:rPr>
                <w:rFonts w:ascii="Arial" w:cs="Arial" w:eastAsia="Arial" w:hAnsi="Arial"/>
                <w:b/>
                <w:bCs/>
                <w:color w:val="FFFFFF"/>
                <w:sz w:val="17"/>
                <w:szCs w:val="17"/>
              </w:rPr>
              <w:t xml:space="preserve">Track</w:t>
            </w:r>
          </w:p>
        </w:tc>
        <w:tc>
          <w:tcPr>
            <w:tcW w:type="dxa" w:w="2400"/>
            <w:shd w:fill="4A1942" w:val="clear"/>
          </w:tcPr>
          <w:p>
            <w:r>
              <w:rPr>
                <w:rFonts w:ascii="Arial" w:cs="Arial" w:eastAsia="Arial" w:hAnsi="Arial"/>
                <w:b/>
                <w:bCs/>
                <w:color w:val="FFFFFF"/>
                <w:sz w:val="17"/>
                <w:szCs w:val="17"/>
              </w:rPr>
              <w:t xml:space="preserve">Audience</w:t>
            </w:r>
          </w:p>
        </w:tc>
        <w:tc>
          <w:tcPr>
            <w:tcW w:type="dxa" w:w="2600"/>
            <w:shd w:fill="4A1942" w:val="clear"/>
          </w:tcPr>
          <w:p>
            <w:r>
              <w:rPr>
                <w:rFonts w:ascii="Arial" w:cs="Arial" w:eastAsia="Arial" w:hAnsi="Arial"/>
                <w:b/>
                <w:bCs/>
                <w:color w:val="FFFFFF"/>
                <w:sz w:val="17"/>
                <w:szCs w:val="17"/>
              </w:rPr>
              <w:t xml:space="preserve">Entry Point</w:t>
            </w:r>
          </w:p>
        </w:tc>
        <w:tc>
          <w:tcPr>
            <w:tcW w:type="dxa" w:w="2650"/>
            <w:shd w:fill="4A1942" w:val="clear"/>
          </w:tcPr>
          <w:p>
            <w:r>
              <w:rPr>
                <w:rFonts w:ascii="Arial" w:cs="Arial" w:eastAsia="Arial" w:hAnsi="Arial"/>
                <w:b/>
                <w:bCs/>
                <w:color w:val="FFFFFF"/>
                <w:sz w:val="17"/>
                <w:szCs w:val="17"/>
              </w:rPr>
              <w:t xml:space="preserve">Core Question</w:t>
            </w:r>
          </w:p>
        </w:tc>
      </w:tr>
      <w:tr>
        <w:tc>
          <w:tcPr>
            <w:tcW w:type="dxa" w:w="1700"/>
          </w:tcPr>
          <w:p>
            <w:r>
              <w:rPr>
                <w:rFonts w:ascii="Arial" w:cs="Arial" w:eastAsia="Arial" w:hAnsi="Arial"/>
                <w:b w:val="false"/>
                <w:bCs w:val="false"/>
                <w:color w:val="2B2B2B"/>
                <w:sz w:val="17"/>
                <w:szCs w:val="17"/>
              </w:rPr>
              <w:t xml:space="preserve">Come Home to
Yourself</w:t>
            </w:r>
          </w:p>
        </w:tc>
        <w:tc>
          <w:tcPr>
            <w:tcW w:type="dxa" w:w="2400"/>
          </w:tcPr>
          <w:p>
            <w:r>
              <w:rPr>
                <w:rFonts w:ascii="Arial" w:cs="Arial" w:eastAsia="Arial" w:hAnsi="Arial"/>
                <w:b w:val="false"/>
                <w:bCs w:val="false"/>
                <w:color w:val="2B2B2B"/>
                <w:sz w:val="17"/>
                <w:szCs w:val="17"/>
              </w:rPr>
              <w:t xml:space="preserve">People who've lost the thread of their own life</w:t>
            </w:r>
          </w:p>
        </w:tc>
        <w:tc>
          <w:tcPr>
            <w:tcW w:type="dxa" w:w="2600"/>
          </w:tcPr>
          <w:p>
            <w:r>
              <w:rPr>
                <w:rFonts w:ascii="Arial" w:cs="Arial" w:eastAsia="Arial" w:hAnsi="Arial"/>
                <w:b w:val="false"/>
                <w:bCs w:val="false"/>
                <w:color w:val="2B2B2B"/>
                <w:sz w:val="17"/>
                <w:szCs w:val="17"/>
              </w:rPr>
              <w:t xml:space="preserve">The Why Workbook</w:t>
            </w:r>
          </w:p>
        </w:tc>
        <w:tc>
          <w:tcPr>
            <w:tcW w:type="dxa" w:w="2650"/>
          </w:tcPr>
          <w:p>
            <w:r>
              <w:rPr>
                <w:rFonts w:ascii="Arial" w:cs="Arial" w:eastAsia="Arial" w:hAnsi="Arial"/>
                <w:b w:val="false"/>
                <w:bCs w:val="false"/>
                <w:color w:val="2B2B2B"/>
                <w:sz w:val="17"/>
                <w:szCs w:val="17"/>
              </w:rPr>
              <w:t xml:space="preserve">What's actually worth doing with your one life?</w:t>
            </w:r>
          </w:p>
        </w:tc>
      </w:tr>
      <w:tr>
        <w:tc>
          <w:tcPr>
            <w:tcW w:type="dxa" w:w="1700"/>
            <w:shd w:fill="FAF6F0" w:val="clear"/>
          </w:tcPr>
          <w:p>
            <w:r>
              <w:rPr>
                <w:rFonts w:ascii="Arial" w:cs="Arial" w:eastAsia="Arial" w:hAnsi="Arial"/>
                <w:b w:val="false"/>
                <w:bCs w:val="false"/>
                <w:color w:val="2B2B2B"/>
                <w:sz w:val="17"/>
                <w:szCs w:val="17"/>
              </w:rPr>
              <w:t xml:space="preserve">Regional Business
Leader</w:t>
            </w:r>
          </w:p>
        </w:tc>
        <w:tc>
          <w:tcPr>
            <w:tcW w:type="dxa" w:w="2400"/>
            <w:shd w:fill="FAF6F0" w:val="clear"/>
          </w:tcPr>
          <w:p>
            <w:r>
              <w:rPr>
                <w:rFonts w:ascii="Arial" w:cs="Arial" w:eastAsia="Arial" w:hAnsi="Arial"/>
                <w:b w:val="false"/>
                <w:bCs w:val="false"/>
                <w:color w:val="2B2B2B"/>
                <w:sz w:val="17"/>
                <w:szCs w:val="17"/>
              </w:rPr>
              <w:t xml:space="preserve">People building a business outside the city, on their own terms</w:t>
            </w:r>
          </w:p>
        </w:tc>
        <w:tc>
          <w:tcPr>
            <w:tcW w:type="dxa" w:w="2600"/>
            <w:shd w:fill="FAF6F0" w:val="clear"/>
          </w:tcPr>
          <w:p>
            <w:r>
              <w:rPr>
                <w:rFonts w:ascii="Arial" w:cs="Arial" w:eastAsia="Arial" w:hAnsi="Arial"/>
                <w:b w:val="false"/>
                <w:bCs w:val="false"/>
                <w:color w:val="2B2B2B"/>
                <w:sz w:val="17"/>
                <w:szCs w:val="17"/>
              </w:rPr>
              <w:t xml:space="preserve">The Business Why
Workshop</w:t>
            </w:r>
          </w:p>
        </w:tc>
        <w:tc>
          <w:tcPr>
            <w:tcW w:type="dxa" w:w="2650"/>
            <w:shd w:fill="FAF6F0" w:val="clear"/>
          </w:tcPr>
          <w:p>
            <w:r>
              <w:rPr>
                <w:rFonts w:ascii="Arial" w:cs="Arial" w:eastAsia="Arial" w:hAnsi="Arial"/>
                <w:b w:val="false"/>
                <w:bCs w:val="false"/>
                <w:color w:val="2B2B2B"/>
                <w:sz w:val="17"/>
                <w:szCs w:val="17"/>
              </w:rPr>
              <w:t xml:space="preserve">What business are you actually building, and does it fit the life you chose?</w:t>
            </w:r>
          </w:p>
        </w:tc>
      </w:tr>
      <w:tr>
        <w:tc>
          <w:tcPr>
            <w:tcW w:type="dxa" w:w="1700"/>
          </w:tcPr>
          <w:p>
            <w:r>
              <w:rPr>
                <w:rFonts w:ascii="Arial" w:cs="Arial" w:eastAsia="Arial" w:hAnsi="Arial"/>
                <w:b w:val="false"/>
                <w:bCs w:val="false"/>
                <w:color w:val="2B2B2B"/>
                <w:sz w:val="17"/>
                <w:szCs w:val="17"/>
              </w:rPr>
              <w:t xml:space="preserve">Design-Led:
Practitioner</w:t>
            </w:r>
          </w:p>
        </w:tc>
        <w:tc>
          <w:tcPr>
            <w:tcW w:type="dxa" w:w="2400"/>
          </w:tcPr>
          <w:p>
            <w:r>
              <w:rPr>
                <w:rFonts w:ascii="Arial" w:cs="Arial" w:eastAsia="Arial" w:hAnsi="Arial"/>
                <w:b w:val="false"/>
                <w:bCs w:val="false"/>
                <w:color w:val="2B2B2B"/>
                <w:sz w:val="17"/>
                <w:szCs w:val="17"/>
              </w:rPr>
              <w:t xml:space="preserve">Designers tired of being executors instead of strategists</w:t>
            </w:r>
          </w:p>
        </w:tc>
        <w:tc>
          <w:tcPr>
            <w:tcW w:type="dxa" w:w="2600"/>
          </w:tcPr>
          <w:p>
            <w:r>
              <w:rPr>
                <w:rFonts w:ascii="Arial" w:cs="Arial" w:eastAsia="Arial" w:hAnsi="Arial"/>
                <w:b w:val="false"/>
                <w:bCs w:val="false"/>
                <w:color w:val="2B2B2B"/>
                <w:sz w:val="17"/>
                <w:szCs w:val="17"/>
              </w:rPr>
              <w:t xml:space="preserve">The Design Thinking
Diagnostic</w:t>
            </w:r>
          </w:p>
        </w:tc>
        <w:tc>
          <w:tcPr>
            <w:tcW w:type="dxa" w:w="2650"/>
          </w:tcPr>
          <w:p>
            <w:r>
              <w:rPr>
                <w:rFonts w:ascii="Arial" w:cs="Arial" w:eastAsia="Arial" w:hAnsi="Arial"/>
                <w:b w:val="false"/>
                <w:bCs w:val="false"/>
                <w:color w:val="2B2B2B"/>
                <w:sz w:val="17"/>
                <w:szCs w:val="17"/>
              </w:rPr>
              <w:t xml:space="preserve">Where is your judgment breaking down, and is it you or the system?</w:t>
            </w:r>
          </w:p>
        </w:tc>
      </w:tr>
      <w:tr>
        <w:tc>
          <w:tcPr>
            <w:tcW w:type="dxa" w:w="1700"/>
            <w:shd w:fill="FAF6F0" w:val="clear"/>
          </w:tcPr>
          <w:p>
            <w:r>
              <w:rPr>
                <w:rFonts w:ascii="Arial" w:cs="Arial" w:eastAsia="Arial" w:hAnsi="Arial"/>
                <w:b w:val="false"/>
                <w:bCs w:val="false"/>
                <w:color w:val="2B2B2B"/>
                <w:sz w:val="17"/>
                <w:szCs w:val="17"/>
              </w:rPr>
              <w:t xml:space="preserve">Design-Led:
Leader</w:t>
            </w:r>
          </w:p>
        </w:tc>
        <w:tc>
          <w:tcPr>
            <w:tcW w:type="dxa" w:w="2400"/>
            <w:shd w:fill="FAF6F0" w:val="clear"/>
          </w:tcPr>
          <w:p>
            <w:r>
              <w:rPr>
                <w:rFonts w:ascii="Arial" w:cs="Arial" w:eastAsia="Arial" w:hAnsi="Arial"/>
                <w:b w:val="false"/>
                <w:bCs w:val="false"/>
                <w:color w:val="2B2B2B"/>
                <w:sz w:val="17"/>
                <w:szCs w:val="17"/>
              </w:rPr>
              <w:t xml:space="preserve">Design leaders who've built the credibility and still can't get the room</w:t>
            </w:r>
          </w:p>
        </w:tc>
        <w:tc>
          <w:tcPr>
            <w:tcW w:type="dxa" w:w="2600"/>
            <w:shd w:fill="FAF6F0" w:val="clear"/>
          </w:tcPr>
          <w:p>
            <w:r>
              <w:rPr>
                <w:rFonts w:ascii="Arial" w:cs="Arial" w:eastAsia="Arial" w:hAnsi="Arial"/>
                <w:b w:val="false"/>
                <w:bCs w:val="false"/>
                <w:color w:val="2B2B2B"/>
                <w:sz w:val="17"/>
                <w:szCs w:val="17"/>
              </w:rPr>
              <w:t xml:space="preserve">The Design
Leadership Diagnostic</w:t>
            </w:r>
          </w:p>
        </w:tc>
        <w:tc>
          <w:tcPr>
            <w:tcW w:type="dxa" w:w="2650"/>
            <w:shd w:fill="FAF6F0" w:val="clear"/>
          </w:tcPr>
          <w:p>
            <w:r>
              <w:rPr>
                <w:rFonts w:ascii="Arial" w:cs="Arial" w:eastAsia="Arial" w:hAnsi="Arial"/>
                <w:b w:val="false"/>
                <w:bCs w:val="false"/>
                <w:color w:val="2B2B2B"/>
                <w:sz w:val="17"/>
                <w:szCs w:val="17"/>
              </w:rPr>
              <w:t xml:space="preserve">Have you built real capability, or just the language of it?</w:t>
            </w:r>
          </w:p>
        </w:tc>
      </w:tr>
    </w:tbl>
    <w:p>
      <w:pPr>
        <w:spacing w:after="240"/>
      </w:pPr>
    </w:p>
    <w:p>
      <w:r>
        <w:br w:type="page"/>
      </w:r>
    </w:p>
    <w:p>
      <w:pPr>
        <w:pStyle w:val="Heading1"/>
        <w:pBdr>
          <w:bottom w:val="single" w:color="E8437A" w:sz="12" w:space="4"/>
        </w:pBdr>
        <w:spacing w:after="240" w:before="480"/>
      </w:pPr>
      <w:r>
        <w:rPr>
          <w:rFonts w:ascii="Arial" w:cs="Arial" w:eastAsia="Arial" w:hAnsi="Arial"/>
          <w:b/>
          <w:bCs/>
          <w:color w:val="4A1942"/>
          <w:sz w:val="32"/>
          <w:szCs w:val="32"/>
        </w:rPr>
        <w:t xml:space="preserve">THE TWO ARMS OF FRANKLY HUMAN</w:t>
      </w:r>
    </w:p>
    <w:p>
      <w:pPr>
        <w:spacing w:after="160"/>
      </w:pPr>
      <w:r>
        <w:rPr>
          <w:rFonts w:ascii="Arial" w:cs="Arial" w:eastAsia="Arial" w:hAnsi="Arial"/>
          <w:i w:val="false"/>
          <w:iCs w:val="false"/>
          <w:color w:val="2B2B2B"/>
          <w:sz w:val="21"/>
          <w:szCs w:val="21"/>
        </w:rPr>
        <w:t xml:space="preserve">Frankly Human is not one business model stretched to cover everything Jacinta does. It's two arms, each internally coherent, sharing the same underlying frameworks and credibility, delivered in different shapes for different buyers who want different things.</w:t>
      </w:r>
    </w:p>
    <w:p>
      <w:pPr>
        <w:pStyle w:val="Heading2"/>
        <w:spacing w:after="160" w:before="320"/>
      </w:pPr>
      <w:r>
        <w:rPr>
          <w:rFonts w:ascii="Arial" w:cs="Arial" w:eastAsia="Arial" w:hAnsi="Arial"/>
          <w:b/>
          <w:bCs/>
          <w:color w:val="4A1942"/>
          <w:sz w:val="26"/>
          <w:szCs w:val="26"/>
        </w:rPr>
        <w:t xml:space="preserve">Arm 1 — IP Products</w:t>
      </w:r>
    </w:p>
    <w:p>
      <w:pPr>
        <w:spacing w:after="160"/>
      </w:pPr>
      <w:r>
        <w:rPr>
          <w:rFonts w:ascii="Arial" w:cs="Arial" w:eastAsia="Arial" w:hAnsi="Arial"/>
          <w:i w:val="false"/>
          <w:iCs w:val="false"/>
          <w:color w:val="2B2B2B"/>
          <w:sz w:val="21"/>
          <w:szCs w:val="21"/>
        </w:rPr>
        <w:t xml:space="preserve">The four tracks as built: diagnostic-led, artifact-producing, scalable, lower-touch. Someone gets a compass — a Why Statement, a Business Why Statement, a Design Influence Profile, a Leadership Influence Profile — and largely goes and builds with it. This is the "compass, not contract" arm. Come Home to Yourself, Regional Business Leader, Design-Led: Practitioner, Design-Led: Leader all live here.</w:t>
      </w:r>
    </w:p>
    <w:p>
      <w:pPr>
        <w:pStyle w:val="Heading2"/>
        <w:spacing w:after="160" w:before="320"/>
      </w:pPr>
      <w:r>
        <w:rPr>
          <w:rFonts w:ascii="Arial" w:cs="Arial" w:eastAsia="Arial" w:hAnsi="Arial"/>
          <w:b/>
          <w:bCs/>
          <w:color w:val="4A1942"/>
          <w:sz w:val="26"/>
          <w:szCs w:val="26"/>
        </w:rPr>
        <w:t xml:space="preserve">Arm 2 — Partnership Engagements</w:t>
      </w:r>
    </w:p>
    <w:p>
      <w:pPr>
        <w:spacing w:after="160"/>
      </w:pPr>
      <w:r>
        <w:rPr>
          <w:rFonts w:ascii="Arial" w:cs="Arial" w:eastAsia="Arial" w:hAnsi="Arial"/>
          <w:i w:val="false"/>
          <w:iCs w:val="false"/>
          <w:color w:val="2B2B2B"/>
          <w:sz w:val="21"/>
          <w:szCs w:val="21"/>
        </w:rPr>
        <w:t xml:space="preserve">Retainer or project-based, ongoing, high-touch, built for people and organisations who want Jacinta directly and repeatedly, not a tool. Business coaching, digital consulting, and team training belong here — the value genuinely lives in the ongoing relationship, and that's the right shape for this kind of work, not a mismatch to correct.</w:t>
      </w:r>
    </w:p>
    <w:p>
      <w:pPr>
        <w:spacing w:after="160"/>
      </w:pPr>
      <w:r>
        <w:rPr>
          <w:rFonts w:ascii="Arial" w:cs="Arial" w:eastAsia="Arial" w:hAnsi="Arial"/>
          <w:i w:val="false"/>
          <w:iCs w:val="false"/>
          <w:color w:val="2B2B2B"/>
          <w:sz w:val="21"/>
          <w:szCs w:val="21"/>
        </w:rPr>
        <w:t xml:space="preserve">This arm already exists inside the pricing, just not yet named as its own thing. Design-Led: Leader's Executive Coaching tier ($15,000, the curriculum applied directly to a leader's own organisation in real time) and Corporate Cohort Licensing ($25,000–$50,000, delivered in-house) are both retainer- and project-shaped — the first real instances of this second arm, currently read as "the expensive tier of one track" rather than what they actually are.</w:t>
      </w:r>
    </w:p>
    <w:p>
      <w:pPr>
        <w:spacing w:after="160"/>
      </w:pPr>
      <w:r>
        <w:rPr>
          <w:rFonts w:ascii="Arial" w:cs="Arial" w:eastAsia="Arial" w:hAnsi="Arial"/>
          <w:i w:val="false"/>
          <w:iCs w:val="false"/>
          <w:color w:val="2B2B2B"/>
          <w:sz w:val="21"/>
          <w:szCs w:val="21"/>
        </w:rPr>
        <w:t xml:space="preserve">Room to extend deliberately, not by accident: a retainer-based Business Partner tier alongside Business Design Reset, for regional owners who want ongoing strategic partnership rather than just the program; and fractional strategy or turnaround consulting, drawing directly on the corporate design-leadership career, positioned separately from the four diagnostic tracks entirely.</w:t>
      </w:r>
    </w:p>
    <w:p>
      <w:pPr>
        <w:pStyle w:val="Heading2"/>
        <w:spacing w:after="160" w:before="320"/>
      </w:pPr>
      <w:r>
        <w:rPr>
          <w:rFonts w:ascii="Arial" w:cs="Arial" w:eastAsia="Arial" w:hAnsi="Arial"/>
          <w:b/>
          <w:bCs/>
          <w:color w:val="4A1942"/>
          <w:sz w:val="26"/>
          <w:szCs w:val="26"/>
        </w:rPr>
        <w:t xml:space="preserve">Why two arms, not one model bent to fit</w:t>
      </w:r>
    </w:p>
    <w:p>
      <w:pPr>
        <w:spacing w:after="160"/>
      </w:pPr>
      <w:r>
        <w:rPr>
          <w:rFonts w:ascii="Arial" w:cs="Arial" w:eastAsia="Arial" w:hAnsi="Arial"/>
          <w:i w:val="false"/>
          <w:iCs w:val="false"/>
          <w:color w:val="2B2B2B"/>
          <w:sz w:val="21"/>
          <w:szCs w:val="21"/>
        </w:rPr>
        <w:t xml:space="preserve">Forcing coaching, consulting, and team training into the "compass, not contract" shape would be as much a mismatch as trying to make a retreat self-serve. The two arms share the same intellectual foundation — the three lenses, the four threads, the judgment thesis — but are honest about being different offers for different buyers, rather than one story stretched thin to cover everything Jacinta is capable of.</w:t>
      </w:r>
    </w:p>
    <w:p>
      <w:pPr>
        <w:pStyle w:val="Heading1"/>
        <w:pBdr>
          <w:bottom w:val="single" w:color="E8437A" w:sz="12" w:space="4"/>
        </w:pBdr>
        <w:spacing w:after="240" w:before="480"/>
      </w:pPr>
      <w:r>
        <w:rPr>
          <w:rFonts w:ascii="Arial" w:cs="Arial" w:eastAsia="Arial" w:hAnsi="Arial"/>
          <w:b/>
          <w:bCs/>
          <w:color w:val="4A1942"/>
          <w:sz w:val="32"/>
          <w:szCs w:val="32"/>
        </w:rPr>
        <w:t xml:space="preserve">WHEN TO USE WHICH VERSION</w:t>
      </w:r>
    </w:p>
    <w:p>
      <w:pPr>
        <w:pStyle w:val="ListParagraph"/>
        <w:numPr>
          <w:ilvl w:val="0"/>
          <w:numId w:val="1"/>
        </w:numPr>
        <w:spacing w:after="80"/>
      </w:pPr>
      <w:r>
        <w:rPr>
          <w:rFonts w:ascii="Arial" w:cs="Arial" w:eastAsia="Arial" w:hAnsi="Arial"/>
          <w:color w:val="2B2B2B"/>
          <w:sz w:val="21"/>
          <w:szCs w:val="21"/>
        </w:rPr>
        <w:t xml:space="preserve">15-second version — cold opens, conference small talk, anywhere you have one breath before someone's attention moves on</w:t>
      </w:r>
    </w:p>
    <w:p>
      <w:pPr>
        <w:pStyle w:val="ListParagraph"/>
        <w:numPr>
          <w:ilvl w:val="0"/>
          <w:numId w:val="1"/>
        </w:numPr>
        <w:spacing w:after="80"/>
      </w:pPr>
      <w:r>
        <w:rPr>
          <w:rFonts w:ascii="Arial" w:cs="Arial" w:eastAsia="Arial" w:hAnsi="Arial"/>
          <w:color w:val="2B2B2B"/>
          <w:sz w:val="21"/>
          <w:szCs w:val="21"/>
        </w:rPr>
        <w:t xml:space="preserve">Full elevator pitch — bios, About pages, LinkedIn headline expansions, anywhere there's room for the shape of the whole thing</w:t>
      </w:r>
    </w:p>
    <w:p>
      <w:pPr>
        <w:pStyle w:val="ListParagraph"/>
        <w:numPr>
          <w:ilvl w:val="0"/>
          <w:numId w:val="1"/>
        </w:numPr>
        <w:spacing w:after="80"/>
      </w:pPr>
      <w:r>
        <w:rPr>
          <w:rFonts w:ascii="Arial" w:cs="Arial" w:eastAsia="Arial" w:hAnsi="Arial"/>
          <w:color w:val="2B2B2B"/>
          <w:sz w:val="21"/>
          <w:szCs w:val="21"/>
        </w:rPr>
        <w:t xml:space="preserve">The Common Thread section — internal use. Pulling a specific track's content and need a gut check on whether it still fits the whole</w:t>
      </w:r>
    </w:p>
    <w:p>
      <w:pPr>
        <w:pStyle w:val="Heading1"/>
        <w:pBdr>
          <w:bottom w:val="single" w:color="E8437A" w:sz="12" w:space="4"/>
        </w:pBdr>
        <w:spacing w:after="240" w:before="480"/>
      </w:pPr>
      <w:r>
        <w:rPr>
          <w:rFonts w:ascii="Arial" w:cs="Arial" w:eastAsia="Arial" w:hAnsi="Arial"/>
          <w:b/>
          <w:bCs/>
          <w:color w:val="4A1942"/>
          <w:sz w:val="32"/>
          <w:szCs w:val="32"/>
        </w:rPr>
        <w:t xml:space="preserve">CLOSING LINE</w:t>
      </w:r>
    </w:p>
    <w:p>
      <w:pPr>
        <w:pBdr>
          <w:left w:val="single" w:color="E8437A" w:sz="18" w:space="8"/>
        </w:pBdr>
        <w:spacing w:after="200" w:before="100"/>
        <w:ind w:left="400"/>
      </w:pPr>
      <w:r>
        <w:rPr>
          <w:rFonts w:ascii="Arial" w:cs="Arial" w:eastAsia="Arial" w:hAnsi="Arial"/>
          <w:b/>
          <w:bCs/>
          <w:i/>
          <w:iCs/>
          <w:color w:val="4A1942"/>
          <w:sz w:val="24"/>
          <w:szCs w:val="24"/>
        </w:rPr>
        <w:t xml:space="preserve">Four audiences. One method. Two theses, one underlying practice.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Positioning &amp; Elevator Pitch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4A1942"/>
        <w:sz w:val="16"/>
        <w:szCs w:val="16"/>
      </w:rPr>
      <w:t xml:space="preserve">FRANKLY HUMAN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2026-07-08T00:25:50.238Z</dcterms:created>
  <dcterms:modified xsi:type="dcterms:W3CDTF">2026-07-08T00:25:50.249Z</dcterms:modified>
</cp:coreProperties>
</file>

<file path=docProps/custom.xml><?xml version="1.0" encoding="utf-8"?>
<Properties xmlns="http://schemas.openxmlformats.org/officeDocument/2006/custom-properties" xmlns:vt="http://schemas.openxmlformats.org/officeDocument/2006/docPropsVTypes"/>
</file>