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nálisis_de_modelado_en_polígonos_c9f6c7"/>
      <w:r>
        <w:rPr>
          <w:rFonts w:eastAsia="Georgia" w:cs="Georgia" w:ascii="Georgia" w:hAnsi="Georgia"/>
          <w:b/>
          <w:sz w:val="56"/>
        </w:rPr>
        <w:t xml:space="preserve">Análisis de Modelado en Polígonos: Conceptos Fundamentales en Geometría 3D</w:t>
      </w:r>
      <w:bookmarkEnd w:id="0"/>
    </w:p>
    <w:p>
      <w:pPr>
        <w:spacing w:line="271" w:before="240" w:lineRule="auto"/>
      </w:pPr>
      <w:bookmarkStart w:id="1" w:name="síntesis"/>
      <w:r>
        <w:rPr>
          <w:rFonts w:eastAsia="Georgia" w:cs="Georgia" w:ascii="Georgia" w:hAnsi="Georgia"/>
          <w:b/>
          <w:sz w:val="42"/>
        </w:rPr>
        <w:t xml:space="preserve">Síntesis</w:t>
      </w:r>
      <w:bookmarkEnd w:id="1"/>
    </w:p>
    <w:p>
      <w:pPr>
        <w:spacing w:after="210" w:lineRule="auto"/>
      </w:pPr>
      <w:r>
        <w:rPr>
          <w:rFonts w:eastAsia="Georgia" w:cs="Georgia" w:ascii="Georgia" w:hAnsi="Georgia"/>
        </w:rPr>
        <w:t xml:space="preserve">El modelado en polígonos constituye un enfoque fundamental en la geometría tridimensional que se basa en la segmentación y reconstrucción de estructuras geométricas básicas. Según los estudios analizados, los tetraedros representan la unidad más simple en el espacio euclídeo 3D, siendo estos patrones geométricos ampliamente utilizados en la caracterización de estructuras moleculares y materiales [1]. La investigación sobre crecimiento de grietas en materiales frágiles demuestra que las configuraciones poligonales, particularmente las relacionadas con distribuciones de esfuerzos, son críticas para entender fallos estructurales [2]. En el contexto de análisis topológico, la geometría de poros y su evolución bajo cargas cíclicas se cuantifica mediante métodos que evalúan la disposición poligonal de estructuras internas, evidenciando cómo las propiedades macroscópicas dependen de la organización microscópica de elementos geométricos [3].</w:t>
      </w:r>
    </w:p>
    <w:p>
      <w:pPr>
        <w:spacing w:line="271" w:before="240" w:lineRule="auto"/>
      </w:pPr>
      <w:bookmarkStart w:id="2" w:name="conceptos_clave_sobre_modelado_poligonal"/>
      <w:r>
        <w:rPr>
          <w:b/>
          <w:sz w:val="42"/>
        </w:rPr>
        <w:t xml:space="preserve">Conceptos Clave sobre Modelado Poligonal</w:t>
      </w:r>
      <w:bookmarkEnd w:id="2"/>
    </w:p>
    <w:p>
      <w:pPr>
        <w:spacing w:line="271" w:before="240" w:lineRule="auto"/>
      </w:pPr>
      <w:bookmarkStart w:id="3" w:name="geometría_tetrahedral_como_unidad_905e77"/>
      <w:r>
        <w:rPr>
          <w:rFonts w:eastAsia="Georgia" w:cs="Georgia" w:ascii="Georgia" w:hAnsi="Georgia"/>
          <w:b/>
          <w:sz w:val="33"/>
        </w:rPr>
        <w:t xml:space="preserve">Geometría Tetrahedral como Unidad Fundamental</w:t>
      </w:r>
      <w:bookmarkEnd w:id="3"/>
    </w:p>
    <w:p>
      <w:pPr>
        <w:spacing w:after="210" w:lineRule="auto"/>
      </w:pPr>
      <w:r>
        <w:rPr>
          <w:rFonts w:eastAsia="Georgia" w:cs="Georgia" w:ascii="Georgia" w:hAnsi="Georgia"/>
        </w:rPr>
        <w:t xml:space="preserve">La geometría tetrahedral constituye el poliedro más simple en tres dimensiones, representando la base constructiva de estructuras más complejas. Este patrón geométrico aparece naturalmente en configuraciones químicas y materiales, donde un átomo central conectado a sus vecinos directos forma una estructura tetraédrica estable. Los estudios de preentrenamiento molecular demuestran que este reconocimiento de unidades semánticas fundamentales mejora significativamente la capacidad de los modelos para capturar patrones estructurales locales y globales [1].</w:t>
      </w:r>
    </w:p>
    <w:p>
      <w:pPr>
        <w:spacing w:line="271" w:before="240" w:lineRule="auto"/>
      </w:pPr>
      <w:bookmarkStart w:id="4" w:name="análisis_de_distribuciones_de_esf_4438e5"/>
      <w:r>
        <w:rPr>
          <w:rFonts w:eastAsia="Georgia" w:cs="Georgia" w:ascii="Georgia" w:hAnsi="Georgia"/>
          <w:b/>
          <w:sz w:val="33"/>
        </w:rPr>
        <w:t xml:space="preserve">Análisis de Distribuciones de Esfuerzos en Polígonos</w:t>
      </w:r>
      <w:bookmarkEnd w:id="4"/>
    </w:p>
    <w:p>
      <w:pPr>
        <w:spacing w:after="210" w:lineRule="auto"/>
      </w:pPr>
      <w:r>
        <w:rPr>
          <w:rFonts w:eastAsia="Georgia" w:cs="Georgia" w:ascii="Georgia" w:hAnsi="Georgia"/>
        </w:rPr>
        <w:t xml:space="preserve">En el análisis de materiales frágiles sometidos a compresión uniaxial, las imperfecciones geométricas superficiales de apenas 1.5 mm generan concentraciones de esfuerzo significativas en regiones locales. La simulación mediante elementos finitos revela que los componentes de esfuerzo transversal se distribuyen en patrones poligonales característicos, donde los esfuerzos tensiles máximos se localizan en protuberancias geométricas [2]. Esta visualización de patrones de falla mediante fragmentación poligonal proporciona insights sobre los mecanismos de fractura en materiales.</w:t>
      </w:r>
    </w:p>
    <w:p>
      <w:pPr>
        <w:spacing w:line="271" w:before="240" w:lineRule="auto"/>
      </w:pPr>
      <w:bookmarkStart w:id="5" w:name="topología_de_poros_y_evolución_es_faf7c4"/>
      <w:r>
        <w:rPr>
          <w:rFonts w:eastAsia="Georgia" w:cs="Georgia" w:ascii="Georgia" w:hAnsi="Georgia"/>
          <w:b/>
          <w:sz w:val="33"/>
        </w:rPr>
        <w:t xml:space="preserve">Topología de Poros y Evolución Estructural</w:t>
      </w:r>
      <w:bookmarkEnd w:id="5"/>
    </w:p>
    <w:p>
      <w:pPr>
        <w:spacing w:after="210" w:lineRule="auto"/>
      </w:pPr>
      <w:r>
        <w:rPr>
          <w:rFonts w:eastAsia="Georgia" w:cs="Georgia" w:ascii="Georgia" w:hAnsi="Georgia"/>
        </w:rPr>
        <w:t xml:space="preserve">La homología persistente aplicada a configuraciones tridimensionales permite cuantificar cambios en la disposición poligonal de poros bajo carga cíclica. El análisis demuestra que la distribución de tamaños de poros cerrados se modifica gradualmente, con poros más pequeños siendo absorbidos por poros abiertos en expansión, formando patrones topológicos dinámicos [3]. Este enfoque integra información geométrica y topológica para predecir la degradación de materiales.</w:t>
      </w:r>
    </w:p>
    <w:p>
      <w:pPr>
        <w:spacing w:line="271" w:before="240" w:lineRule="auto"/>
      </w:pPr>
      <w:bookmarkStart w:id="6" w:name="aplicaciones_en_ingeniería_de_sistemas"/>
      <w:r>
        <w:rPr>
          <w:rFonts w:eastAsia="Georgia" w:cs="Georgia" w:ascii="Georgia" w:hAnsi="Georgia"/>
          <w:b/>
          <w:sz w:val="42"/>
        </w:rPr>
        <w:t xml:space="preserve">Aplicaciones en Ingeniería de Sistemas</w:t>
      </w:r>
      <w:bookmarkEnd w:id="6"/>
    </w:p>
    <w:p>
      <w:pPr>
        <w:spacing w:after="210" w:lineRule="auto"/>
      </w:pPr>
      <w:r>
        <w:rPr>
          <w:rFonts w:eastAsia="Georgia" w:cs="Georgia" w:ascii="Georgia" w:hAnsi="Georgia"/>
        </w:rPr>
        <w:t xml:space="preserve">El modelado poligonal es fundamental en múltiples disciplinas de la ingeniería, desde la caracterización de materiales refractarios hasta la predicción de propiedades moleculares. La descomposición sistemática de estructuras complejas en unidades poligonales básicas permite capturar tanto patrones locales de alta resolución como relaciones espaciales globales, mejorando significativamente la precisión en análisis y predicciones de comportamiento estructural.</w:t>
      </w:r>
    </w:p>
    <w:p>
      <w:pPr>
        <w:spacing w:line="271" w:before="240" w:lineRule="auto"/>
      </w:pPr>
      <w:bookmarkStart w:id="7" w:name="referencias"/>
      <w:r>
        <w:rPr>
          <w:b/>
          <w:sz w:val="42"/>
        </w:rPr>
        <w:t xml:space="preserve">Referencias</w:t>
      </w:r>
      <w:bookmarkEnd w:id="7"/>
    </w:p>
    <w:p>
      <w:pPr>
        <w:spacing w:after="210" w:lineRule="auto"/>
      </w:pPr>
      <w:r>
        <w:rPr/>
        <w:t xml:space="preserve">[1] Y. Sun, K. Chen, K. Liu, and Q. Ye, "Tetrahedral molecular pretraining for enhanced property prediction," </w:t>
      </w:r>
      <w:r>
        <w:rPr>
          <w:i/>
        </w:rPr>
        <w:t xml:space="preserve">Pattern Recognition</w:t>
      </w:r>
      <w:r>
        <w:rPr/>
        <w:t xml:space="preserve">, vol. 172, p. 112638, 2026. </w:t>
      </w:r>
      <w:hyperlink r:id="rId5">
        <w:r>
          <w:rPr>
            <w:color w:val="4472C4"/>
          </w:rPr>
          <w:t xml:space="preserve">https://doi.org/10.1016/j.patcog.2025.112638</w:t>
        </w:r>
      </w:hyperlink>
    </w:p>
    <w:p>
      <w:pPr>
        <w:spacing w:after="210" w:lineRule="auto"/>
      </w:pPr>
      <w:r>
        <w:rPr/>
        <w:t xml:space="preserve">[2] H. Wang, L. Li, A. Dyskin, E. Pasternak, and G. W. Ma, "Effect of non-uniform loading on brittle fractures and 3D crack growth under uniaxial compression," </w:t>
      </w:r>
      <w:r>
        <w:rPr>
          <w:i/>
        </w:rPr>
        <w:t xml:space="preserve">Theoretical and Applied Fracture Mechanics</w:t>
      </w:r>
      <w:r>
        <w:rPr/>
        <w:t xml:space="preserve">, vol. 141, p. 105273, 2026. </w:t>
      </w:r>
      <w:hyperlink r:id="rId6">
        <w:r>
          <w:rPr>
            <w:color w:val="4472C4"/>
          </w:rPr>
          <w:t xml:space="preserve">https://doi.org/10.1016/j.tafmec.2025.105273</w:t>
        </w:r>
      </w:hyperlink>
    </w:p>
    <w:p>
      <w:pPr>
        <w:spacing w:after="210" w:lineRule="auto"/>
      </w:pPr>
      <w:r>
        <w:rPr/>
        <w:t xml:space="preserve">[3] T. Higaki, Y. Ozaki, R. Kusunoki, T. Nakayama, and Y. Hino, "Modelling thermal fatigue of alumina brick via cyclic compression and 3D pore topology analysis," </w:t>
      </w:r>
      <w:r>
        <w:rPr>
          <w:i/>
        </w:rPr>
        <w:t xml:space="preserve">Journal of the European Ceramic Society</w:t>
      </w:r>
      <w:r>
        <w:rPr/>
        <w:t xml:space="preserve">, vol. 46, p. 117954, 2026. </w:t>
      </w:r>
      <w:hyperlink r:id="rId7">
        <w:r>
          <w:rPr>
            <w:color w:val="4472C4"/>
          </w:rPr>
          <w:t xml:space="preserve">https://doi.org/10.1016/j.jeurceramsoc.2025.117954</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s-E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oi.org/10.1016/j.patcog.2025.112638" TargetMode="External"/><Relationship Id="rId6" Type="http://schemas.openxmlformats.org/officeDocument/2006/relationships/hyperlink" Target="https://doi.org/10.1016/j.tafmec.2025.105273" TargetMode="External"/><Relationship Id="rId7" Type="http://schemas.openxmlformats.org/officeDocument/2006/relationships/hyperlink" Target="https://doi.org/10.1016/j.jeurceramsoc.2025.117954"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2025-12-10T03:28:17.885Z</dcterms:created>
  <dcterms:modified xsi:type="dcterms:W3CDTF">2025-12-10T03:28:17.885Z</dcterms:modified>
</cp:coreProperties>
</file>