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1. Indikace a obecné kontraindikace fyzikální terapie, rozdělení FT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praktické uplatnění fyzikálních léčebných postupů a metod na živých organizmech s cílem benefitu pro pacienta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Indikace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analgezie - potlačení známé bolesti, dle bolesti volit typ FT, pokud po 6. aplikaci nezabere, tak vybraná FT nefunguje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myorelaxace - zlepšit prokrvení, sekundárně analgetický efekt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trofotropní účinek - stimulační, lepší regenerace, zvýšený metabolismus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antiedematózní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placebo - nezpochybňovat metodu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časový faktor - je odkladný efekt je amorální, neetický, ale využíváme jej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Rozdělení fyzikální 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mechanoterapie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masáže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polohování, trakce, extenze, TMT, mobilizace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ultrazvuk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termoterapie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pozitivní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negativní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kombinovaná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fototerapie (světelné vlnění)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UV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viditelné světlo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IR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elektroterapie (elektrické proudění)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stejnosměrný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nízkofrekvenční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vysokofrekvenční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magnetoterapie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hydroterapie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kombinované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Kontraindikace - lokální/celkové - obecné/speciální - relativní/absolutní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horečnaté stavy - nelze předpovídat reakci pacienta na léčbu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kardiostimulátor - možnost narušit funkce všech elektronických zařízení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kachexie - mění se kožní odpor, reaktivita organizmu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hemoragické diatézy - zvyšuje se lokální prokrvení a tím riziko vzniku hematomu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kovový implantáty - riziko zahřátí implantátu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trofické změny v místě aplikace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jizvy, čerstvé léze kožního krytu - vše, co narušuje kontinuitu kůže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gravidita - žádná FT do míst Lp a břicha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9. larynx a štítná žláza (nemělo by se ozařovat) - vedla by ke změně funkce ŠŽ, porucha polykacího aktu (sousta do DC)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10. ložiska TBC a tumorů - stimulace rozsevu maligního procesu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11. oblasti velkých sympatických plexů (sinus caroticus - náhlá srdeční zástava, plexus solaris - akutní obtíže břicha)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12. manifestace respirační/kardiální insuficience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13. porucha čití v místě aplikace (vede k riziku poškození kůže) - absence kontroly dějů v místě aplikace FT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14. snížené duševní funkce - nelze se spolehnout na údaje pacienta</w:t>
      </w:r>
    </w:p>
    <w:sectPr>
      <w:pgSz w:w="11906" w:h="16838"/>
      <w:pgMar w:top="1134" w:right="1134" w:bottom="1134" w:left="1134" w:header="708" w:footer="708" w:gutter="0"/>
    </w:sectPr>
  </w:body>
</w:document>
</file>