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220"/>
        <w:ind w:left="0"/>
      </w:pPr>
      <w:r>
        <w:rPr>
          <w:b/>
          <w:sz w:val="52"/>
          <w:szCs w:val="52"/>
        </w:rPr>
        <w:t xml:space="preserve">6. Středněfrekvenční terapie: interferenční proudy: účinky, indikace, kontraindikace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I. Definice</w:t>
      </w:r>
    </w:p>
    <w:p>
      <w:pPr>
        <w:spacing w:before="0" w:after="45"/>
        <w:ind w:left="360"/>
      </w:pPr>
      <w:r>
        <w:rPr>
          <w:sz w:val="22"/>
          <w:szCs w:val="22"/>
        </w:rPr>
        <w:t xml:space="preserve">jsou elektrické proudy o frekvencí 1-100 kHz - nejčastěji využívané v rehabilitaci jsou interferenční proudy - střední frekvence má menší odpor, pacient ji lépe toleruje a proto lze působit hlouběji - je terapeutické využití dvou středněfrekvenčních proudových okruhů, které se v hloubi tkáně kříží a vzniká tam proud, jehož frekvence je rovna vektorovému součtu frekvencí v obou kruzích - jdou hlouběji do tkání, tam se transformují na NF proudy 90 - 130 Hz (modulace amplitudy) - 4 lístek - interferenční proud: vzniká ze dvou středněfrekvenčních proudů o mírně odlišné frekvenci, které se vzájemně interferují, výsledkem je amplitudově modulovaný proud o f 100 Hz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II. Indikace - chronické nociceptivní bolest 10-20 min, 9-12 procedur, podprahově motorická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1. nervové - paréza n. VII., herpes zoster, neuritidy, neuralgie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2. svalové - myositis, myalgie, spasmy, tendinits, epikondylalgie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3. kloubní - RA, bursitidy, synovitidy, capsulitidy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4. poúrazové - podpora hojení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III. Kontraindikace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1. funkční i orgnanické poruchy v akutní fázi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2. hyperanxieta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3. absces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4. ne na oblast srdce, břicha, sinus caroticus, trasnscerebrální aplikace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IV. Způsob aplikace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1. Dvoupolová interference (modulace je vytvořena v přístroji, jednodušší aplikace - jednookruhové bipolární aplikace (lze i na akutní stavy), čtyřlístek se mění na přímku - nižší intenzita, nižší hloubka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2. Čtyčpolová interference - 4 elektrody, interference vzniká v místě jejich křížení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A. klasické - obsolentní, nejhlubší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B. izoplanární vektorové pole - rovnoměrné (lze i na akutní stavy)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C. dipólový vektorové pole - čtyřlístek se změní na přímku, dá se zacílit, rotuje automaticky/ručně, KI akutní stavy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V. Aplikace - subakutní 1x denně, chronická 2-3 x týdně, po 6. aplikaci zhodnotit efekt terapie, obvykle 9-12 procedur - po 1. aplikaci může dojít ke zhoršení obtíží - délka aplikace 3-20 minut - intenzita minimálně podprahově senzitivní - transregionálně/segmentálně/reflexní (ovlivněním Headových zón můžeme ovlivnit vnitřní orgány, který reflexní změnu vyvolali)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VI. Účinky - závisí na modulační frekvenci a intenzitě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1. analgetický - tlumení bolesti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2. motorický - stimulace motorických nervů, vyvolání svalové kontrakce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3. vazomotrický - zvýšení lokálního prokrvení, sekundárně podpora metabolismu a reparace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4. podpora resorpce edému</w:t>
      </w:r>
    </w:p>
    <w:p>
      <w:pPr>
        <w:spacing w:before="0" w:after="45"/>
        <w:ind w:left="360"/>
      </w:pPr>
      <w:r>
        <w:rPr>
          <w:sz w:val="22"/>
          <w:szCs w:val="22"/>
        </w:rPr>
        <w:t xml:space="preserve">nižší modulační frekvence - výraznější motorická stimulace</w:t>
      </w:r>
    </w:p>
    <w:p>
      <w:pPr>
        <w:spacing w:before="0" w:after="45"/>
        <w:ind w:left="360"/>
      </w:pPr>
      <w:r>
        <w:rPr>
          <w:sz w:val="22"/>
          <w:szCs w:val="22"/>
        </w:rPr>
        <w:t xml:space="preserve">střední frekvence - zejména analgetický účinek</w:t>
      </w:r>
    </w:p>
    <w:p>
      <w:pPr>
        <w:spacing w:before="0" w:after="45"/>
        <w:ind w:left="360"/>
      </w:pPr>
      <w:r>
        <w:rPr>
          <w:sz w:val="22"/>
          <w:szCs w:val="22"/>
        </w:rPr>
        <w:t xml:space="preserve">vyšší frekvence - analgetický/senzorický účinek, menší motorická odpověď</w:t>
      </w:r>
    </w:p>
    <w:sectPr>
      <w:pgSz w:w="11906" w:h="16838"/>
      <w:pgMar w:top="1134" w:right="1134" w:bottom="1134" w:left="1134" w:header="708" w:footer="708" w:gutter="0"/>
    </w:sectPr>
  </w:body>
</w:document>
</file>