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Individual Report - Kaixiang Sheng</w:t>
      </w:r>
    </w:p>
    <w:p>
      <w:pPr>
        <w:jc w:val="center"/>
      </w:pPr>
      <w:r>
        <w:rPr>
          <w:rFonts w:ascii="Arial" w:hAnsi="Arial"/>
          <w:b w:val="0"/>
          <w:i w:val="0"/>
          <w:sz w:val="18"/>
        </w:rPr>
        <w:t>Facial Recognition with Emotion and Liveness</w:t>
      </w:r>
    </w:p>
    <w:p>
      <w:pPr>
        <w:spacing w:before="120" w:after="60"/>
      </w:pPr>
      <w:r>
        <w:rPr>
          <w:rFonts w:ascii="Arial" w:hAnsi="Arial"/>
          <w:b/>
          <w:sz w:val="26"/>
        </w:rPr>
        <w:t>1. Individual Contributions</w:t>
      </w:r>
    </w:p>
    <w:p>
      <w:pPr>
        <w:spacing w:after="60" w:line="240" w:lineRule="auto"/>
      </w:pPr>
      <w:r>
        <w:rPr>
          <w:rFonts w:ascii="Arial" w:hAnsi="Arial"/>
          <w:b w:val="0"/>
          <w:i w:val="0"/>
          <w:sz w:val="18"/>
        </w:rPr>
        <w:t>My main contributions were metric-learning face verification, anti-spoofing / liveness detection, and glasses detection as an individual innovative feature. I implemented training, evaluation, comparison, and integration wrappers for these modules, then selected the final models based on shared test-set performance and real-time webcam behaviour.</w:t>
      </w:r>
    </w:p>
    <w:p>
      <w:pPr>
        <w:pStyle w:val="ListBullet"/>
        <w:spacing w:after="20" w:line="240" w:lineRule="auto"/>
      </w:pPr>
      <w:r>
        <w:rPr>
          <w:rFonts w:ascii="Arial" w:hAnsi="Arial"/>
          <w:b w:val="0"/>
          <w:i w:val="0"/>
          <w:sz w:val="17"/>
        </w:rPr>
        <w:t>Metric learning recognition: trained and compared four Kaixiang models, built gallery-based recognition, and tested Euclidean and cosine verification.</w:t>
      </w:r>
    </w:p>
    <w:p>
      <w:pPr>
        <w:pStyle w:val="ListBullet"/>
        <w:spacing w:after="20" w:line="240" w:lineRule="auto"/>
      </w:pPr>
      <w:r>
        <w:rPr>
          <w:rFonts w:ascii="Arial" w:hAnsi="Arial"/>
          <w:b w:val="0"/>
          <w:i w:val="0"/>
          <w:sz w:val="17"/>
        </w:rPr>
        <w:t>Anti-spoofing: trained MobileNetV2 and EfficientNetB0 binary liveness classifiers and tuned webcam integration thresholds.</w:t>
      </w:r>
    </w:p>
    <w:p>
      <w:pPr>
        <w:pStyle w:val="ListBullet"/>
        <w:spacing w:after="20" w:line="240" w:lineRule="auto"/>
      </w:pPr>
      <w:r>
        <w:rPr>
          <w:rFonts w:ascii="Arial" w:hAnsi="Arial"/>
          <w:b w:val="0"/>
          <w:i w:val="0"/>
          <w:sz w:val="17"/>
        </w:rPr>
        <w:t>Innovation: developed an independent glasses detection module for additional user appearance metadata.</w:t>
      </w:r>
    </w:p>
    <w:p>
      <w:pPr>
        <w:spacing w:before="120" w:after="60"/>
      </w:pPr>
      <w:r>
        <w:rPr>
          <w:rFonts w:ascii="Arial" w:hAnsi="Arial"/>
          <w:b/>
          <w:sz w:val="26"/>
        </w:rPr>
        <w:t>2. Datasets and Evaluation Protocol</w:t>
      </w:r>
    </w:p>
    <w:p>
      <w:pPr>
        <w:spacing w:after="60" w:line="240" w:lineRule="auto"/>
      </w:pPr>
      <w:r>
        <w:rPr>
          <w:rFonts w:ascii="Arial" w:hAnsi="Arial"/>
          <w:b w:val="0"/>
          <w:i w:val="0"/>
          <w:sz w:val="18"/>
        </w:rPr>
        <w:t>The supplied 11-785 Face Verification dataset was initially tested, but smoke tests were not stable enough for robust metric recognition. The project specification allows additional data sources, so I used public datasets and kept identity-disjoint or class-balanced local splits.</w:t>
      </w:r>
    </w:p>
    <w:p>
      <w:pPr>
        <w:pStyle w:val="ListBullet"/>
        <w:spacing w:after="20" w:line="240" w:lineRule="auto"/>
      </w:pPr>
      <w:r>
        <w:rPr>
          <w:rFonts w:ascii="Arial" w:hAnsi="Arial"/>
          <w:b w:val="0"/>
          <w:i w:val="0"/>
          <w:sz w:val="17"/>
        </w:rPr>
        <w:t>Metric recognition dataset: VGGFace2, https://www.kaggle.com/datasets/hearfool/vggface2. Local split: 480 training identities, 30 validation identities, and 30 test identities. Final evaluation used datasets/recognition/test with 1200 verification pairs.</w:t>
      </w:r>
    </w:p>
    <w:p>
      <w:pPr>
        <w:pStyle w:val="ListBullet"/>
        <w:spacing w:after="20" w:line="240" w:lineRule="auto"/>
      </w:pPr>
      <w:r>
        <w:rPr>
          <w:rFonts w:ascii="Arial" w:hAnsi="Arial"/>
          <w:b w:val="0"/>
          <w:i w:val="0"/>
          <w:sz w:val="17"/>
        </w:rPr>
        <w:t>Liveness dataset: LCC-FASD, https://www.kaggle.com/datasets/faber24/lcc-fasd. It was arranged into real/spoof folders with an approximately 5:1:1 train/validation/test split. Final evaluation used 200 test images: 100 real and 100 spoof.</w:t>
      </w:r>
    </w:p>
    <w:p>
      <w:pPr>
        <w:pStyle w:val="ListBullet"/>
        <w:spacing w:after="20" w:line="240" w:lineRule="auto"/>
      </w:pPr>
      <w:r>
        <w:rPr>
          <w:rFonts w:ascii="Arial" w:hAnsi="Arial"/>
          <w:b w:val="0"/>
          <w:i w:val="0"/>
          <w:sz w:val="17"/>
        </w:rPr>
        <w:t>Glasses dataset: local datasets/glasses split into with_glasses and without_glasses. Final test set contained 3376 images.</w:t>
      </w:r>
    </w:p>
    <w:p>
      <w:pPr>
        <w:spacing w:before="120" w:after="60"/>
      </w:pPr>
      <w:r>
        <w:rPr>
          <w:rFonts w:ascii="Arial" w:hAnsi="Arial"/>
          <w:b/>
          <w:sz w:val="26"/>
        </w:rPr>
        <w:t>3. Key Methods</w:t>
      </w:r>
    </w:p>
    <w:p>
      <w:pPr>
        <w:spacing w:after="60" w:line="240" w:lineRule="auto"/>
      </w:pPr>
      <w:r>
        <w:rPr>
          <w:rFonts w:ascii="Arial" w:hAnsi="Arial"/>
          <w:b w:val="0"/>
          <w:i w:val="0"/>
          <w:sz w:val="18"/>
        </w:rPr>
        <w:t>All models used transfer learning with further task-specific training, not fully pre-trained models directly. For metric recognition, I compared contrastive Siamese models and batch-hard triplet models. The models used 224 x 224 RGB crops, ImageNet normalization, L2-normalized embeddings, and threshold-based verification.</w:t>
      </w:r>
    </w:p>
    <w:p>
      <w:pPr>
        <w:pStyle w:val="ListBullet"/>
        <w:spacing w:after="20" w:line="240" w:lineRule="auto"/>
      </w:pPr>
      <w:r>
        <w:rPr>
          <w:rFonts w:ascii="Arial" w:hAnsi="Arial"/>
          <w:b w:val="0"/>
          <w:i w:val="0"/>
          <w:sz w:val="17"/>
        </w:rPr>
        <w:t>Contrastive models: Siamese ResNet18 and Siamese MobileNetV2, contrastive loss, batch size 16, 5 head epochs + 15 fine-tuning epochs, 3000 pairs per epoch, head LR 1e-3, fine-tune LR 1e-4.</w:t>
      </w:r>
    </w:p>
    <w:p>
      <w:pPr>
        <w:pStyle w:val="ListBullet"/>
        <w:spacing w:after="20" w:line="240" w:lineRule="auto"/>
      </w:pPr>
      <w:r>
        <w:rPr>
          <w:rFonts w:ascii="Arial" w:hAnsi="Arial"/>
          <w:b w:val="0"/>
          <w:i w:val="0"/>
          <w:sz w:val="17"/>
        </w:rPr>
        <w:t>Triplet models: Triplet ResNet18 and Triplet MobileNetV2 with P=8 identities and K=4 images per identity. Triplet ResNet18 used margin 0.3; Triplet MobileNetV2 used margin 0.2 for the final run.</w:t>
      </w:r>
    </w:p>
    <w:p>
      <w:pPr>
        <w:pStyle w:val="ListBullet"/>
        <w:spacing w:after="20" w:line="240" w:lineRule="auto"/>
      </w:pPr>
      <w:r>
        <w:rPr>
          <w:rFonts w:ascii="Arial" w:hAnsi="Arial"/>
          <w:b w:val="0"/>
          <w:i w:val="0"/>
          <w:sz w:val="17"/>
        </w:rPr>
        <w:t>Liveness models: MobileNetV2 and EfficientNetB0 with custom binary heads, binary cross-entropy, 5 head epochs + 15 fine-tuning epochs, early stopping, and final-block fine-tuning.</w:t>
      </w:r>
    </w:p>
    <w:p>
      <w:pPr>
        <w:pStyle w:val="ListBullet"/>
        <w:spacing w:after="20" w:line="240" w:lineRule="auto"/>
      </w:pPr>
      <w:r>
        <w:rPr>
          <w:rFonts w:ascii="Arial" w:hAnsi="Arial"/>
          <w:b w:val="0"/>
          <w:i w:val="0"/>
          <w:sz w:val="17"/>
        </w:rPr>
        <w:t>Glasses models: MobileNetV2 and EfficientNetB0 with binary heads, BCEWithLogitsLoss, class weighting, 3 head epochs + 8 fine-tuning epochs, and limited training samples per class for runtime control.</w:t>
      </w:r>
    </w:p>
    <w:p>
      <w:pPr>
        <w:spacing w:before="120" w:after="60"/>
      </w:pPr>
      <w:r>
        <w:rPr>
          <w:rFonts w:ascii="Arial" w:hAnsi="Arial"/>
          <w:b/>
          <w:sz w:val="26"/>
        </w:rPr>
        <w:t>4. Results</w:t>
      </w:r>
    </w:p>
    <w:p>
      <w:pPr>
        <w:spacing w:before="80" w:after="60"/>
      </w:pPr>
      <w:r>
        <w:rPr>
          <w:rFonts w:ascii="Arial" w:hAnsi="Arial"/>
          <w:b/>
          <w:sz w:val="21"/>
        </w:rPr>
        <w:t>4.1 Metric Learning Recognition</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pPr>
              <w:spacing w:after="0" w:line="240" w:lineRule="auto"/>
            </w:pPr>
            <w:r>
              <w:rPr>
                <w:rFonts w:ascii="Arial" w:hAnsi="Arial"/>
                <w:b/>
                <w:sz w:val="14"/>
              </w:rPr>
              <w:t>Model</w:t>
            </w:r>
          </w:p>
        </w:tc>
        <w:tc>
          <w:tcPr>
            <w:tcW w:type="dxa" w:w="1522"/>
          </w:tcPr>
          <w:p>
            <w:pPr>
              <w:spacing w:after="0" w:line="240" w:lineRule="auto"/>
            </w:pPr>
            <w:r>
              <w:rPr>
                <w:rFonts w:ascii="Arial" w:hAnsi="Arial"/>
                <w:b/>
                <w:sz w:val="14"/>
              </w:rPr>
              <w:t>Loss</w:t>
            </w:r>
          </w:p>
        </w:tc>
        <w:tc>
          <w:tcPr>
            <w:tcW w:type="dxa" w:w="1522"/>
          </w:tcPr>
          <w:p>
            <w:pPr>
              <w:spacing w:after="0" w:line="240" w:lineRule="auto"/>
            </w:pPr>
            <w:r>
              <w:rPr>
                <w:rFonts w:ascii="Arial" w:hAnsi="Arial"/>
                <w:b/>
                <w:sz w:val="14"/>
              </w:rPr>
              <w:t>Euc AUC</w:t>
            </w:r>
          </w:p>
        </w:tc>
        <w:tc>
          <w:tcPr>
            <w:tcW w:type="dxa" w:w="1522"/>
          </w:tcPr>
          <w:p>
            <w:pPr>
              <w:spacing w:after="0" w:line="240" w:lineRule="auto"/>
            </w:pPr>
            <w:r>
              <w:rPr>
                <w:rFonts w:ascii="Arial" w:hAnsi="Arial"/>
                <w:b/>
                <w:sz w:val="14"/>
              </w:rPr>
              <w:t>Euc Acc</w:t>
            </w:r>
          </w:p>
        </w:tc>
        <w:tc>
          <w:tcPr>
            <w:tcW w:type="dxa" w:w="1522"/>
          </w:tcPr>
          <w:p>
            <w:pPr>
              <w:spacing w:after="0" w:line="240" w:lineRule="auto"/>
            </w:pPr>
            <w:r>
              <w:rPr>
                <w:rFonts w:ascii="Arial" w:hAnsi="Arial"/>
                <w:b/>
                <w:sz w:val="14"/>
              </w:rPr>
              <w:t>Euc F1</w:t>
            </w:r>
          </w:p>
        </w:tc>
        <w:tc>
          <w:tcPr>
            <w:tcW w:type="dxa" w:w="1522"/>
          </w:tcPr>
          <w:p>
            <w:pPr>
              <w:spacing w:after="0" w:line="240" w:lineRule="auto"/>
            </w:pPr>
            <w:r>
              <w:rPr>
                <w:rFonts w:ascii="Arial" w:hAnsi="Arial"/>
                <w:b/>
                <w:sz w:val="14"/>
              </w:rPr>
              <w:t>Cos AUC</w:t>
            </w:r>
          </w:p>
        </w:tc>
        <w:tc>
          <w:tcPr>
            <w:tcW w:type="dxa" w:w="1522"/>
          </w:tcPr>
          <w:p>
            <w:pPr>
              <w:spacing w:after="0" w:line="240" w:lineRule="auto"/>
            </w:pPr>
            <w:r>
              <w:rPr>
                <w:rFonts w:ascii="Arial" w:hAnsi="Arial"/>
                <w:b/>
                <w:sz w:val="14"/>
              </w:rPr>
              <w:t>FPS</w:t>
            </w:r>
          </w:p>
        </w:tc>
      </w:tr>
      <w:tr>
        <w:tc>
          <w:tcPr>
            <w:tcW w:type="dxa" w:w="1522"/>
          </w:tcPr>
          <w:p>
            <w:pPr>
              <w:spacing w:after="0" w:line="240" w:lineRule="auto"/>
            </w:pPr>
            <w:r>
              <w:rPr>
                <w:rFonts w:ascii="Arial" w:hAnsi="Arial"/>
                <w:sz w:val="14"/>
              </w:rPr>
              <w:t>Contrastive ResNet18</w:t>
            </w:r>
          </w:p>
        </w:tc>
        <w:tc>
          <w:tcPr>
            <w:tcW w:type="dxa" w:w="1522"/>
          </w:tcPr>
          <w:p>
            <w:pPr>
              <w:spacing w:after="0" w:line="240" w:lineRule="auto"/>
            </w:pPr>
            <w:r>
              <w:rPr>
                <w:rFonts w:ascii="Arial" w:hAnsi="Arial"/>
                <w:sz w:val="14"/>
              </w:rPr>
              <w:t>Contrastive</w:t>
            </w:r>
          </w:p>
        </w:tc>
        <w:tc>
          <w:tcPr>
            <w:tcW w:type="dxa" w:w="1522"/>
          </w:tcPr>
          <w:p>
            <w:pPr>
              <w:spacing w:after="0" w:line="240" w:lineRule="auto"/>
            </w:pPr>
            <w:r>
              <w:rPr>
                <w:rFonts w:ascii="Arial" w:hAnsi="Arial"/>
                <w:sz w:val="14"/>
              </w:rPr>
              <w:t>0.8375</w:t>
            </w:r>
          </w:p>
        </w:tc>
        <w:tc>
          <w:tcPr>
            <w:tcW w:type="dxa" w:w="1522"/>
          </w:tcPr>
          <w:p>
            <w:pPr>
              <w:spacing w:after="0" w:line="240" w:lineRule="auto"/>
            </w:pPr>
            <w:r>
              <w:rPr>
                <w:rFonts w:ascii="Arial" w:hAnsi="Arial"/>
                <w:sz w:val="14"/>
              </w:rPr>
              <w:t>0.7708</w:t>
            </w:r>
          </w:p>
        </w:tc>
        <w:tc>
          <w:tcPr>
            <w:tcW w:type="dxa" w:w="1522"/>
          </w:tcPr>
          <w:p>
            <w:pPr>
              <w:spacing w:after="0" w:line="240" w:lineRule="auto"/>
            </w:pPr>
            <w:r>
              <w:rPr>
                <w:rFonts w:ascii="Arial" w:hAnsi="Arial"/>
                <w:sz w:val="14"/>
              </w:rPr>
              <w:t>0.7703</w:t>
            </w:r>
          </w:p>
        </w:tc>
        <w:tc>
          <w:tcPr>
            <w:tcW w:type="dxa" w:w="1522"/>
          </w:tcPr>
          <w:p>
            <w:pPr>
              <w:spacing w:after="0" w:line="240" w:lineRule="auto"/>
            </w:pPr>
            <w:r>
              <w:rPr>
                <w:rFonts w:ascii="Arial" w:hAnsi="Arial"/>
                <w:sz w:val="14"/>
              </w:rPr>
              <w:t>0.8375</w:t>
            </w:r>
          </w:p>
        </w:tc>
        <w:tc>
          <w:tcPr>
            <w:tcW w:type="dxa" w:w="1522"/>
          </w:tcPr>
          <w:p>
            <w:pPr>
              <w:spacing w:after="0" w:line="240" w:lineRule="auto"/>
            </w:pPr>
            <w:r>
              <w:rPr>
                <w:rFonts w:ascii="Arial" w:hAnsi="Arial"/>
                <w:sz w:val="14"/>
              </w:rPr>
              <w:t>15.55</w:t>
            </w:r>
          </w:p>
        </w:tc>
      </w:tr>
      <w:tr>
        <w:tc>
          <w:tcPr>
            <w:tcW w:type="dxa" w:w="1522"/>
          </w:tcPr>
          <w:p>
            <w:pPr>
              <w:spacing w:after="0" w:line="240" w:lineRule="auto"/>
            </w:pPr>
            <w:r>
              <w:rPr>
                <w:rFonts w:ascii="Arial" w:hAnsi="Arial"/>
                <w:sz w:val="14"/>
              </w:rPr>
              <w:t>Contrastive MobileNetV2</w:t>
            </w:r>
          </w:p>
        </w:tc>
        <w:tc>
          <w:tcPr>
            <w:tcW w:type="dxa" w:w="1522"/>
          </w:tcPr>
          <w:p>
            <w:pPr>
              <w:spacing w:after="0" w:line="240" w:lineRule="auto"/>
            </w:pPr>
            <w:r>
              <w:rPr>
                <w:rFonts w:ascii="Arial" w:hAnsi="Arial"/>
                <w:sz w:val="14"/>
              </w:rPr>
              <w:t>Contrastive</w:t>
            </w:r>
          </w:p>
        </w:tc>
        <w:tc>
          <w:tcPr>
            <w:tcW w:type="dxa" w:w="1522"/>
          </w:tcPr>
          <w:p>
            <w:pPr>
              <w:spacing w:after="0" w:line="240" w:lineRule="auto"/>
            </w:pPr>
            <w:r>
              <w:rPr>
                <w:rFonts w:ascii="Arial" w:hAnsi="Arial"/>
                <w:sz w:val="14"/>
              </w:rPr>
              <w:t>0.7739</w:t>
            </w:r>
          </w:p>
        </w:tc>
        <w:tc>
          <w:tcPr>
            <w:tcW w:type="dxa" w:w="1522"/>
          </w:tcPr>
          <w:p>
            <w:pPr>
              <w:spacing w:after="0" w:line="240" w:lineRule="auto"/>
            </w:pPr>
            <w:r>
              <w:rPr>
                <w:rFonts w:ascii="Arial" w:hAnsi="Arial"/>
                <w:sz w:val="14"/>
              </w:rPr>
              <w:t>0.7142</w:t>
            </w:r>
          </w:p>
        </w:tc>
        <w:tc>
          <w:tcPr>
            <w:tcW w:type="dxa" w:w="1522"/>
          </w:tcPr>
          <w:p>
            <w:pPr>
              <w:spacing w:after="0" w:line="240" w:lineRule="auto"/>
            </w:pPr>
            <w:r>
              <w:rPr>
                <w:rFonts w:ascii="Arial" w:hAnsi="Arial"/>
                <w:sz w:val="14"/>
              </w:rPr>
              <w:t>0.7491</w:t>
            </w:r>
          </w:p>
        </w:tc>
        <w:tc>
          <w:tcPr>
            <w:tcW w:type="dxa" w:w="1522"/>
          </w:tcPr>
          <w:p>
            <w:pPr>
              <w:spacing w:after="0" w:line="240" w:lineRule="auto"/>
            </w:pPr>
            <w:r>
              <w:rPr>
                <w:rFonts w:ascii="Arial" w:hAnsi="Arial"/>
                <w:sz w:val="14"/>
              </w:rPr>
              <w:t>0.7739</w:t>
            </w:r>
          </w:p>
        </w:tc>
        <w:tc>
          <w:tcPr>
            <w:tcW w:type="dxa" w:w="1522"/>
          </w:tcPr>
          <w:p>
            <w:pPr>
              <w:spacing w:after="0" w:line="240" w:lineRule="auto"/>
            </w:pPr>
            <w:r>
              <w:rPr>
                <w:rFonts w:ascii="Arial" w:hAnsi="Arial"/>
                <w:sz w:val="14"/>
              </w:rPr>
              <w:t>29.33</w:t>
            </w:r>
          </w:p>
        </w:tc>
      </w:tr>
      <w:tr>
        <w:tc>
          <w:tcPr>
            <w:tcW w:type="dxa" w:w="1522"/>
          </w:tcPr>
          <w:p>
            <w:pPr>
              <w:spacing w:after="0" w:line="240" w:lineRule="auto"/>
            </w:pPr>
            <w:r>
              <w:rPr>
                <w:rFonts w:ascii="Arial" w:hAnsi="Arial"/>
                <w:sz w:val="14"/>
              </w:rPr>
              <w:t>Triplet ResNet18</w:t>
            </w:r>
          </w:p>
        </w:tc>
        <w:tc>
          <w:tcPr>
            <w:tcW w:type="dxa" w:w="1522"/>
          </w:tcPr>
          <w:p>
            <w:pPr>
              <w:spacing w:after="0" w:line="240" w:lineRule="auto"/>
            </w:pPr>
            <w:r>
              <w:rPr>
                <w:rFonts w:ascii="Arial" w:hAnsi="Arial"/>
                <w:sz w:val="14"/>
              </w:rPr>
              <w:t>Triplet</w:t>
            </w:r>
          </w:p>
        </w:tc>
        <w:tc>
          <w:tcPr>
            <w:tcW w:type="dxa" w:w="1522"/>
          </w:tcPr>
          <w:p>
            <w:pPr>
              <w:spacing w:after="0" w:line="240" w:lineRule="auto"/>
            </w:pPr>
            <w:r>
              <w:rPr>
                <w:rFonts w:ascii="Arial" w:hAnsi="Arial"/>
                <w:sz w:val="14"/>
              </w:rPr>
              <w:t>0.8880</w:t>
            </w:r>
          </w:p>
        </w:tc>
        <w:tc>
          <w:tcPr>
            <w:tcW w:type="dxa" w:w="1522"/>
          </w:tcPr>
          <w:p>
            <w:pPr>
              <w:spacing w:after="0" w:line="240" w:lineRule="auto"/>
            </w:pPr>
            <w:r>
              <w:rPr>
                <w:rFonts w:ascii="Arial" w:hAnsi="Arial"/>
                <w:sz w:val="14"/>
              </w:rPr>
              <w:t>0.8092</w:t>
            </w:r>
          </w:p>
        </w:tc>
        <w:tc>
          <w:tcPr>
            <w:tcW w:type="dxa" w:w="1522"/>
          </w:tcPr>
          <w:p>
            <w:pPr>
              <w:spacing w:after="0" w:line="240" w:lineRule="auto"/>
            </w:pPr>
            <w:r>
              <w:rPr>
                <w:rFonts w:ascii="Arial" w:hAnsi="Arial"/>
                <w:sz w:val="14"/>
              </w:rPr>
              <w:t>0.8044</w:t>
            </w:r>
          </w:p>
        </w:tc>
        <w:tc>
          <w:tcPr>
            <w:tcW w:type="dxa" w:w="1522"/>
          </w:tcPr>
          <w:p>
            <w:pPr>
              <w:spacing w:after="0" w:line="240" w:lineRule="auto"/>
            </w:pPr>
            <w:r>
              <w:rPr>
                <w:rFonts w:ascii="Arial" w:hAnsi="Arial"/>
                <w:sz w:val="14"/>
              </w:rPr>
              <w:t>0.8883</w:t>
            </w:r>
          </w:p>
        </w:tc>
        <w:tc>
          <w:tcPr>
            <w:tcW w:type="dxa" w:w="1522"/>
          </w:tcPr>
          <w:p>
            <w:pPr>
              <w:spacing w:after="0" w:line="240" w:lineRule="auto"/>
            </w:pPr>
            <w:r>
              <w:rPr>
                <w:rFonts w:ascii="Arial" w:hAnsi="Arial"/>
                <w:sz w:val="14"/>
              </w:rPr>
              <w:t>16.75</w:t>
            </w:r>
          </w:p>
        </w:tc>
      </w:tr>
      <w:tr>
        <w:tc>
          <w:tcPr>
            <w:tcW w:type="dxa" w:w="1522"/>
          </w:tcPr>
          <w:p>
            <w:pPr>
              <w:spacing w:after="0" w:line="240" w:lineRule="auto"/>
            </w:pPr>
            <w:r>
              <w:rPr>
                <w:rFonts w:ascii="Arial" w:hAnsi="Arial"/>
                <w:sz w:val="14"/>
              </w:rPr>
              <w:t>Triplet MobileNetV2</w:t>
            </w:r>
          </w:p>
        </w:tc>
        <w:tc>
          <w:tcPr>
            <w:tcW w:type="dxa" w:w="1522"/>
          </w:tcPr>
          <w:p>
            <w:pPr>
              <w:spacing w:after="0" w:line="240" w:lineRule="auto"/>
            </w:pPr>
            <w:r>
              <w:rPr>
                <w:rFonts w:ascii="Arial" w:hAnsi="Arial"/>
                <w:sz w:val="14"/>
              </w:rPr>
              <w:t>Triplet</w:t>
            </w:r>
          </w:p>
        </w:tc>
        <w:tc>
          <w:tcPr>
            <w:tcW w:type="dxa" w:w="1522"/>
          </w:tcPr>
          <w:p>
            <w:pPr>
              <w:spacing w:after="0" w:line="240" w:lineRule="auto"/>
            </w:pPr>
            <w:r>
              <w:rPr>
                <w:rFonts w:ascii="Arial" w:hAnsi="Arial"/>
                <w:sz w:val="14"/>
              </w:rPr>
              <w:t>0.7794</w:t>
            </w:r>
          </w:p>
        </w:tc>
        <w:tc>
          <w:tcPr>
            <w:tcW w:type="dxa" w:w="1522"/>
          </w:tcPr>
          <w:p>
            <w:pPr>
              <w:spacing w:after="0" w:line="240" w:lineRule="auto"/>
            </w:pPr>
            <w:r>
              <w:rPr>
                <w:rFonts w:ascii="Arial" w:hAnsi="Arial"/>
                <w:sz w:val="14"/>
              </w:rPr>
              <w:t>0.7192</w:t>
            </w:r>
          </w:p>
        </w:tc>
        <w:tc>
          <w:tcPr>
            <w:tcW w:type="dxa" w:w="1522"/>
          </w:tcPr>
          <w:p>
            <w:pPr>
              <w:spacing w:after="0" w:line="240" w:lineRule="auto"/>
            </w:pPr>
            <w:r>
              <w:rPr>
                <w:rFonts w:ascii="Arial" w:hAnsi="Arial"/>
                <w:sz w:val="14"/>
              </w:rPr>
              <w:t>0.7310</w:t>
            </w:r>
          </w:p>
        </w:tc>
        <w:tc>
          <w:tcPr>
            <w:tcW w:type="dxa" w:w="1522"/>
          </w:tcPr>
          <w:p>
            <w:pPr>
              <w:spacing w:after="0" w:line="240" w:lineRule="auto"/>
            </w:pPr>
            <w:r>
              <w:rPr>
                <w:rFonts w:ascii="Arial" w:hAnsi="Arial"/>
                <w:sz w:val="14"/>
              </w:rPr>
              <w:t>0.7791</w:t>
            </w:r>
          </w:p>
        </w:tc>
        <w:tc>
          <w:tcPr>
            <w:tcW w:type="dxa" w:w="1522"/>
          </w:tcPr>
          <w:p>
            <w:pPr>
              <w:spacing w:after="0" w:line="240" w:lineRule="auto"/>
            </w:pPr>
            <w:r>
              <w:rPr>
                <w:rFonts w:ascii="Arial" w:hAnsi="Arial"/>
                <w:sz w:val="14"/>
              </w:rPr>
              <w:t>29.82</w:t>
            </w:r>
          </w:p>
        </w:tc>
      </w:tr>
    </w:tbl>
    <w:p>
      <w:pPr>
        <w:spacing w:after="60" w:line="240" w:lineRule="auto"/>
      </w:pPr>
      <w:r>
        <w:rPr>
          <w:rFonts w:ascii="Arial" w:hAnsi="Arial"/>
          <w:b w:val="0"/>
          <w:i w:val="0"/>
          <w:sz w:val="17"/>
        </w:rPr>
        <w:t>Triplet ResNet18 achieved the best recognition result and was selected for final deployment.</w:t>
      </w:r>
    </w:p>
    <w:tbl>
      <w:tblPr>
        <w:tblStyle w:val="TableGrid"/>
        <w:tblW w:type="auto" w:w="0"/>
        <w:tblLayout w:type="autofit"/>
        <w:tblLook w:firstColumn="1" w:firstRow="1" w:lastColumn="0" w:lastRow="0" w:noHBand="0" w:noVBand="1" w:val="04A0"/>
      </w:tblPr>
      <w:tblGrid>
        <w:gridCol w:w="5328"/>
        <w:gridCol w:w="5328"/>
      </w:tblGrid>
      <w:tr>
        <w:tc>
          <w:tcPr>
            <w:tcW w:type="dxa" w:w="5328"/>
          </w:tcPr>
          <w:p>
            <w:pPr>
              <w:spacing w:after="0" w:line="240" w:lineRule="auto"/>
              <w:jc w:val="center"/>
            </w:pPr>
            <w:r>
              <w:rPr>
                <w:rFonts w:ascii="Arial" w:hAnsi="Arial"/>
                <w:sz w:val="14"/>
              </w:rPr>
              <w:drawing>
                <wp:inline xmlns:a="http://schemas.openxmlformats.org/drawingml/2006/main" xmlns:pic="http://schemas.openxmlformats.org/drawingml/2006/picture">
                  <wp:extent cx="2971800" cy="1584960"/>
                  <wp:docPr id="1" name="Picture 1"/>
                  <wp:cNvGraphicFramePr>
                    <a:graphicFrameLocks noChangeAspect="1"/>
                  </wp:cNvGraphicFramePr>
                  <a:graphic>
                    <a:graphicData uri="http://schemas.openxmlformats.org/drawingml/2006/picture">
                      <pic:pic>
                        <pic:nvPicPr>
                          <pic:cNvPr id="0" name="metric_kaixiang_model_comparison.png"/>
                          <pic:cNvPicPr/>
                        </pic:nvPicPr>
                        <pic:blipFill>
                          <a:blip r:embed="rId9"/>
                          <a:stretch>
                            <a:fillRect/>
                          </a:stretch>
                        </pic:blipFill>
                        <pic:spPr>
                          <a:xfrm>
                            <a:off x="0" y="0"/>
                            <a:ext cx="2971800" cy="1584960"/>
                          </a:xfrm>
                          <a:prstGeom prst="rect"/>
                        </pic:spPr>
                      </pic:pic>
                    </a:graphicData>
                  </a:graphic>
                </wp:inline>
              </w:drawing>
            </w:r>
          </w:p>
        </w:tc>
        <w:tc>
          <w:tcPr>
            <w:tcW w:type="dxa" w:w="5328"/>
          </w:tcPr>
          <w:p>
            <w:pPr>
              <w:spacing w:after="0" w:line="240" w:lineRule="auto"/>
              <w:jc w:val="center"/>
            </w:pPr>
            <w:r>
              <w:rPr>
                <w:rFonts w:ascii="Arial" w:hAnsi="Arial"/>
                <w:sz w:val="14"/>
              </w:rPr>
              <w:drawing>
                <wp:inline xmlns:a="http://schemas.openxmlformats.org/drawingml/2006/main" xmlns:pic="http://schemas.openxmlformats.org/drawingml/2006/picture">
                  <wp:extent cx="2971800" cy="1680604"/>
                  <wp:docPr id="2" name="Picture 2"/>
                  <wp:cNvGraphicFramePr>
                    <a:graphicFrameLocks noChangeAspect="1"/>
                  </wp:cNvGraphicFramePr>
                  <a:graphic>
                    <a:graphicData uri="http://schemas.openxmlformats.org/drawingml/2006/picture">
                      <pic:pic>
                        <pic:nvPicPr>
                          <pic:cNvPr id="0" name="metric_kaixiang_roc_curves.png"/>
                          <pic:cNvPicPr/>
                        </pic:nvPicPr>
                        <pic:blipFill>
                          <a:blip r:embed="rId10"/>
                          <a:stretch>
                            <a:fillRect/>
                          </a:stretch>
                        </pic:blipFill>
                        <pic:spPr>
                          <a:xfrm>
                            <a:off x="0" y="0"/>
                            <a:ext cx="2971800" cy="1680604"/>
                          </a:xfrm>
                          <a:prstGeom prst="rect"/>
                        </pic:spPr>
                      </pic:pic>
                    </a:graphicData>
                  </a:graphic>
                </wp:inline>
              </w:drawing>
            </w:r>
          </w:p>
        </w:tc>
      </w:tr>
      <w:tr>
        <w:tc>
          <w:tcPr>
            <w:tcW w:type="dxa" w:w="5328"/>
          </w:tcPr>
          <w:p>
            <w:pPr>
              <w:spacing w:after="0" w:line="240" w:lineRule="auto"/>
              <w:jc w:val="center"/>
            </w:pPr>
            <w:r>
              <w:rPr>
                <w:rFonts w:ascii="Arial" w:hAnsi="Arial"/>
                <w:b w:val="0"/>
                <w:i/>
                <w:sz w:val="14"/>
              </w:rPr>
              <w:t>Figure 1. Kaixiang metric model comparison.</w:t>
            </w:r>
          </w:p>
        </w:tc>
        <w:tc>
          <w:tcPr>
            <w:tcW w:type="dxa" w:w="5328"/>
          </w:tcPr>
          <w:p>
            <w:pPr>
              <w:spacing w:after="0" w:line="240" w:lineRule="auto"/>
              <w:jc w:val="center"/>
            </w:pPr>
            <w:r>
              <w:rPr>
                <w:rFonts w:ascii="Arial" w:hAnsi="Arial"/>
                <w:b w:val="0"/>
                <w:i/>
                <w:sz w:val="14"/>
              </w:rPr>
              <w:t>Figure 2. ROC curves for my four metric models.</w:t>
            </w:r>
          </w:p>
        </w:tc>
      </w:tr>
    </w:tbl>
    <w:tbl>
      <w:tblPr>
        <w:tblStyle w:val="TableGrid"/>
        <w:tblW w:type="auto" w:w="0"/>
        <w:tblLayout w:type="autofit"/>
        <w:tblLook w:firstColumn="1" w:firstRow="1" w:lastColumn="0" w:lastRow="0" w:noHBand="0" w:noVBand="1" w:val="04A0"/>
      </w:tblPr>
      <w:tblGrid>
        <w:gridCol w:w="5328"/>
        <w:gridCol w:w="5328"/>
      </w:tblGrid>
      <w:tr>
        <w:tc>
          <w:tcPr>
            <w:tcW w:type="dxa" w:w="5328"/>
          </w:tcPr>
          <w:p>
            <w:pPr>
              <w:spacing w:after="0" w:line="240" w:lineRule="auto"/>
              <w:jc w:val="center"/>
            </w:pPr>
            <w:r>
              <w:rPr>
                <w:rFonts w:ascii="Arial" w:hAnsi="Arial"/>
                <w:sz w:val="14"/>
              </w:rPr>
              <w:drawing>
                <wp:inline xmlns:a="http://schemas.openxmlformats.org/drawingml/2006/main" xmlns:pic="http://schemas.openxmlformats.org/drawingml/2006/picture">
                  <wp:extent cx="2971800" cy="1505712"/>
                  <wp:docPr id="3" name="Picture 3"/>
                  <wp:cNvGraphicFramePr>
                    <a:graphicFrameLocks noChangeAspect="1"/>
                  </wp:cNvGraphicFramePr>
                  <a:graphic>
                    <a:graphicData uri="http://schemas.openxmlformats.org/drawingml/2006/picture">
                      <pic:pic>
                        <pic:nvPicPr>
                          <pic:cNvPr id="0" name="metric_best_distance_metric_comparison.png"/>
                          <pic:cNvPicPr/>
                        </pic:nvPicPr>
                        <pic:blipFill>
                          <a:blip r:embed="rId11"/>
                          <a:stretch>
                            <a:fillRect/>
                          </a:stretch>
                        </pic:blipFill>
                        <pic:spPr>
                          <a:xfrm>
                            <a:off x="0" y="0"/>
                            <a:ext cx="2971800" cy="1505712"/>
                          </a:xfrm>
                          <a:prstGeom prst="rect"/>
                        </pic:spPr>
                      </pic:pic>
                    </a:graphicData>
                  </a:graphic>
                </wp:inline>
              </w:drawing>
            </w:r>
          </w:p>
        </w:tc>
        <w:tc>
          <w:tcPr>
            <w:tcW w:type="dxa" w:w="5328"/>
          </w:tcPr>
          <w:p>
            <w:pPr>
              <w:spacing w:after="0" w:line="240" w:lineRule="auto"/>
              <w:jc w:val="center"/>
            </w:pPr>
            <w:r>
              <w:rPr>
                <w:rFonts w:ascii="Arial" w:hAnsi="Arial"/>
                <w:sz w:val="14"/>
              </w:rPr>
              <w:drawing>
                <wp:inline xmlns:a="http://schemas.openxmlformats.org/drawingml/2006/main" xmlns:pic="http://schemas.openxmlformats.org/drawingml/2006/picture">
                  <wp:extent cx="2971800" cy="1238250"/>
                  <wp:docPr id="4" name="Picture 4"/>
                  <wp:cNvGraphicFramePr>
                    <a:graphicFrameLocks noChangeAspect="1"/>
                  </wp:cNvGraphicFramePr>
                  <a:graphic>
                    <a:graphicData uri="http://schemas.openxmlformats.org/drawingml/2006/picture">
                      <pic:pic>
                        <pic:nvPicPr>
                          <pic:cNvPr id="0" name="metric_best_score_distribution.png"/>
                          <pic:cNvPicPr/>
                        </pic:nvPicPr>
                        <pic:blipFill>
                          <a:blip r:embed="rId12"/>
                          <a:stretch>
                            <a:fillRect/>
                          </a:stretch>
                        </pic:blipFill>
                        <pic:spPr>
                          <a:xfrm>
                            <a:off x="0" y="0"/>
                            <a:ext cx="2971800" cy="1238250"/>
                          </a:xfrm>
                          <a:prstGeom prst="rect"/>
                        </pic:spPr>
                      </pic:pic>
                    </a:graphicData>
                  </a:graphic>
                </wp:inline>
              </w:drawing>
            </w:r>
          </w:p>
        </w:tc>
      </w:tr>
      <w:tr>
        <w:tc>
          <w:tcPr>
            <w:tcW w:type="dxa" w:w="5328"/>
          </w:tcPr>
          <w:p>
            <w:pPr>
              <w:spacing w:after="0" w:line="240" w:lineRule="auto"/>
              <w:jc w:val="center"/>
            </w:pPr>
            <w:r>
              <w:rPr>
                <w:rFonts w:ascii="Arial" w:hAnsi="Arial"/>
                <w:b w:val="0"/>
                <w:i/>
                <w:sz w:val="14"/>
              </w:rPr>
              <w:t>Figure 3. Euclidean vs cosine on the best model.</w:t>
            </w:r>
          </w:p>
        </w:tc>
        <w:tc>
          <w:tcPr>
            <w:tcW w:type="dxa" w:w="5328"/>
          </w:tcPr>
          <w:p>
            <w:pPr>
              <w:spacing w:after="0" w:line="240" w:lineRule="auto"/>
              <w:jc w:val="center"/>
            </w:pPr>
            <w:r>
              <w:rPr>
                <w:rFonts w:ascii="Arial" w:hAnsi="Arial"/>
                <w:b w:val="0"/>
                <w:i/>
                <w:sz w:val="14"/>
              </w:rPr>
              <w:t>Figure 4. Positive/negative score distribution.</w:t>
            </w:r>
          </w:p>
        </w:tc>
      </w:tr>
    </w:tbl>
    <w:p>
      <w:pPr>
        <w:spacing w:before="80" w:after="60"/>
      </w:pPr>
      <w:r>
        <w:rPr>
          <w:rFonts w:ascii="Arial" w:hAnsi="Arial"/>
          <w:b/>
          <w:sz w:val="21"/>
        </w:rPr>
        <w:t>4.2 Anti-Spoofing / Liveness Detection</w:t>
      </w:r>
    </w:p>
    <w:tbl>
      <w:tblPr>
        <w:tblStyle w:val="TableGrid"/>
        <w:tblW w:type="auto" w:w="0"/>
        <w:tblLook w:firstColumn="1" w:firstRow="1" w:lastColumn="0" w:lastRow="0" w:noHBand="0" w:noVBand="1" w:val="04A0"/>
      </w:tblPr>
      <w:tblGrid>
        <w:gridCol w:w="1522"/>
        <w:gridCol w:w="1522"/>
        <w:gridCol w:w="1522"/>
        <w:gridCol w:w="1522"/>
        <w:gridCol w:w="1522"/>
        <w:gridCol w:w="1522"/>
        <w:gridCol w:w="1522"/>
      </w:tblGrid>
      <w:tr>
        <w:tc>
          <w:tcPr>
            <w:tcW w:type="dxa" w:w="1522"/>
          </w:tcPr>
          <w:p>
            <w:pPr>
              <w:spacing w:after="0" w:line="240" w:lineRule="auto"/>
            </w:pPr>
            <w:r>
              <w:rPr>
                <w:rFonts w:ascii="Arial" w:hAnsi="Arial"/>
                <w:b/>
                <w:sz w:val="14"/>
              </w:rPr>
              <w:t>Model</w:t>
            </w:r>
          </w:p>
        </w:tc>
        <w:tc>
          <w:tcPr>
            <w:tcW w:type="dxa" w:w="1522"/>
          </w:tcPr>
          <w:p>
            <w:pPr>
              <w:spacing w:after="0" w:line="240" w:lineRule="auto"/>
            </w:pPr>
            <w:r>
              <w:rPr>
                <w:rFonts w:ascii="Arial" w:hAnsi="Arial"/>
                <w:b/>
                <w:sz w:val="14"/>
              </w:rPr>
              <w:t>AUC</w:t>
            </w:r>
          </w:p>
        </w:tc>
        <w:tc>
          <w:tcPr>
            <w:tcW w:type="dxa" w:w="1522"/>
          </w:tcPr>
          <w:p>
            <w:pPr>
              <w:spacing w:after="0" w:line="240" w:lineRule="auto"/>
            </w:pPr>
            <w:r>
              <w:rPr>
                <w:rFonts w:ascii="Arial" w:hAnsi="Arial"/>
                <w:b/>
                <w:sz w:val="14"/>
              </w:rPr>
              <w:t>Acc</w:t>
            </w:r>
          </w:p>
        </w:tc>
        <w:tc>
          <w:tcPr>
            <w:tcW w:type="dxa" w:w="1522"/>
          </w:tcPr>
          <w:p>
            <w:pPr>
              <w:spacing w:after="0" w:line="240" w:lineRule="auto"/>
            </w:pPr>
            <w:r>
              <w:rPr>
                <w:rFonts w:ascii="Arial" w:hAnsi="Arial"/>
                <w:b/>
                <w:sz w:val="14"/>
              </w:rPr>
              <w:t>F1</w:t>
            </w:r>
          </w:p>
        </w:tc>
        <w:tc>
          <w:tcPr>
            <w:tcW w:type="dxa" w:w="1522"/>
          </w:tcPr>
          <w:p>
            <w:pPr>
              <w:spacing w:after="0" w:line="240" w:lineRule="auto"/>
            </w:pPr>
            <w:r>
              <w:rPr>
                <w:rFonts w:ascii="Arial" w:hAnsi="Arial"/>
                <w:b/>
                <w:sz w:val="14"/>
              </w:rPr>
              <w:t>Precision</w:t>
            </w:r>
          </w:p>
        </w:tc>
        <w:tc>
          <w:tcPr>
            <w:tcW w:type="dxa" w:w="1522"/>
          </w:tcPr>
          <w:p>
            <w:pPr>
              <w:spacing w:after="0" w:line="240" w:lineRule="auto"/>
            </w:pPr>
            <w:r>
              <w:rPr>
                <w:rFonts w:ascii="Arial" w:hAnsi="Arial"/>
                <w:b/>
                <w:sz w:val="14"/>
              </w:rPr>
              <w:t>Recall</w:t>
            </w:r>
          </w:p>
        </w:tc>
        <w:tc>
          <w:tcPr>
            <w:tcW w:type="dxa" w:w="1522"/>
          </w:tcPr>
          <w:p>
            <w:pPr>
              <w:spacing w:after="0" w:line="240" w:lineRule="auto"/>
            </w:pPr>
            <w:r>
              <w:rPr>
                <w:rFonts w:ascii="Arial" w:hAnsi="Arial"/>
                <w:b/>
                <w:sz w:val="14"/>
              </w:rPr>
              <w:t>FPS</w:t>
            </w:r>
          </w:p>
        </w:tc>
      </w:tr>
      <w:tr>
        <w:tc>
          <w:tcPr>
            <w:tcW w:type="dxa" w:w="1522"/>
          </w:tcPr>
          <w:p>
            <w:pPr>
              <w:spacing w:after="0" w:line="240" w:lineRule="auto"/>
            </w:pPr>
            <w:r>
              <w:rPr>
                <w:rFonts w:ascii="Arial" w:hAnsi="Arial"/>
                <w:sz w:val="14"/>
              </w:rPr>
              <w:t>MobileNetV2 + binary head</w:t>
            </w:r>
          </w:p>
        </w:tc>
        <w:tc>
          <w:tcPr>
            <w:tcW w:type="dxa" w:w="1522"/>
          </w:tcPr>
          <w:p>
            <w:pPr>
              <w:spacing w:after="0" w:line="240" w:lineRule="auto"/>
            </w:pPr>
            <w:r>
              <w:rPr>
                <w:rFonts w:ascii="Arial" w:hAnsi="Arial"/>
                <w:sz w:val="14"/>
              </w:rPr>
              <w:t>0.9447</w:t>
            </w:r>
          </w:p>
        </w:tc>
        <w:tc>
          <w:tcPr>
            <w:tcW w:type="dxa" w:w="1522"/>
          </w:tcPr>
          <w:p>
            <w:pPr>
              <w:spacing w:after="0" w:line="240" w:lineRule="auto"/>
            </w:pPr>
            <w:r>
              <w:rPr>
                <w:rFonts w:ascii="Arial" w:hAnsi="Arial"/>
                <w:sz w:val="14"/>
              </w:rPr>
              <w:t>0.8750</w:t>
            </w:r>
          </w:p>
        </w:tc>
        <w:tc>
          <w:tcPr>
            <w:tcW w:type="dxa" w:w="1522"/>
          </w:tcPr>
          <w:p>
            <w:pPr>
              <w:spacing w:after="0" w:line="240" w:lineRule="auto"/>
            </w:pPr>
            <w:r>
              <w:rPr>
                <w:rFonts w:ascii="Arial" w:hAnsi="Arial"/>
                <w:sz w:val="14"/>
              </w:rPr>
              <w:t>0.8756</w:t>
            </w:r>
          </w:p>
        </w:tc>
        <w:tc>
          <w:tcPr>
            <w:tcW w:type="dxa" w:w="1522"/>
          </w:tcPr>
          <w:p>
            <w:pPr>
              <w:spacing w:after="0" w:line="240" w:lineRule="auto"/>
            </w:pPr>
            <w:r>
              <w:rPr>
                <w:rFonts w:ascii="Arial" w:hAnsi="Arial"/>
                <w:sz w:val="14"/>
              </w:rPr>
              <w:t>0.8713</w:t>
            </w:r>
          </w:p>
        </w:tc>
        <w:tc>
          <w:tcPr>
            <w:tcW w:type="dxa" w:w="1522"/>
          </w:tcPr>
          <w:p>
            <w:pPr>
              <w:spacing w:after="0" w:line="240" w:lineRule="auto"/>
            </w:pPr>
            <w:r>
              <w:rPr>
                <w:rFonts w:ascii="Arial" w:hAnsi="Arial"/>
                <w:sz w:val="14"/>
              </w:rPr>
              <w:t>0.8800</w:t>
            </w:r>
          </w:p>
        </w:tc>
        <w:tc>
          <w:tcPr>
            <w:tcW w:type="dxa" w:w="1522"/>
          </w:tcPr>
          <w:p>
            <w:pPr>
              <w:spacing w:after="0" w:line="240" w:lineRule="auto"/>
            </w:pPr>
            <w:r>
              <w:rPr>
                <w:rFonts w:ascii="Arial" w:hAnsi="Arial"/>
                <w:sz w:val="14"/>
              </w:rPr>
              <w:t>37.62</w:t>
            </w:r>
          </w:p>
        </w:tc>
      </w:tr>
      <w:tr>
        <w:tc>
          <w:tcPr>
            <w:tcW w:type="dxa" w:w="1522"/>
          </w:tcPr>
          <w:p>
            <w:pPr>
              <w:spacing w:after="0" w:line="240" w:lineRule="auto"/>
            </w:pPr>
            <w:r>
              <w:rPr>
                <w:rFonts w:ascii="Arial" w:hAnsi="Arial"/>
                <w:sz w:val="14"/>
              </w:rPr>
              <w:t>EfficientNetB0 + binary head</w:t>
            </w:r>
          </w:p>
        </w:tc>
        <w:tc>
          <w:tcPr>
            <w:tcW w:type="dxa" w:w="1522"/>
          </w:tcPr>
          <w:p>
            <w:pPr>
              <w:spacing w:after="0" w:line="240" w:lineRule="auto"/>
            </w:pPr>
            <w:r>
              <w:rPr>
                <w:rFonts w:ascii="Arial" w:hAnsi="Arial"/>
                <w:sz w:val="14"/>
              </w:rPr>
              <w:t>0.9724</w:t>
            </w:r>
          </w:p>
        </w:tc>
        <w:tc>
          <w:tcPr>
            <w:tcW w:type="dxa" w:w="1522"/>
          </w:tcPr>
          <w:p>
            <w:pPr>
              <w:spacing w:after="0" w:line="240" w:lineRule="auto"/>
            </w:pPr>
            <w:r>
              <w:rPr>
                <w:rFonts w:ascii="Arial" w:hAnsi="Arial"/>
                <w:sz w:val="14"/>
              </w:rPr>
              <w:t>0.9150</w:t>
            </w:r>
          </w:p>
        </w:tc>
        <w:tc>
          <w:tcPr>
            <w:tcW w:type="dxa" w:w="1522"/>
          </w:tcPr>
          <w:p>
            <w:pPr>
              <w:spacing w:after="0" w:line="240" w:lineRule="auto"/>
            </w:pPr>
            <w:r>
              <w:rPr>
                <w:rFonts w:ascii="Arial" w:hAnsi="Arial"/>
                <w:sz w:val="14"/>
              </w:rPr>
              <w:t>0.9128</w:t>
            </w:r>
          </w:p>
        </w:tc>
        <w:tc>
          <w:tcPr>
            <w:tcW w:type="dxa" w:w="1522"/>
          </w:tcPr>
          <w:p>
            <w:pPr>
              <w:spacing w:after="0" w:line="240" w:lineRule="auto"/>
            </w:pPr>
            <w:r>
              <w:rPr>
                <w:rFonts w:ascii="Arial" w:hAnsi="Arial"/>
                <w:sz w:val="14"/>
              </w:rPr>
              <w:t>0.9368</w:t>
            </w:r>
          </w:p>
        </w:tc>
        <w:tc>
          <w:tcPr>
            <w:tcW w:type="dxa" w:w="1522"/>
          </w:tcPr>
          <w:p>
            <w:pPr>
              <w:spacing w:after="0" w:line="240" w:lineRule="auto"/>
            </w:pPr>
            <w:r>
              <w:rPr>
                <w:rFonts w:ascii="Arial" w:hAnsi="Arial"/>
                <w:sz w:val="14"/>
              </w:rPr>
              <w:t>0.8900</w:t>
            </w:r>
          </w:p>
        </w:tc>
        <w:tc>
          <w:tcPr>
            <w:tcW w:type="dxa" w:w="1522"/>
          </w:tcPr>
          <w:p>
            <w:pPr>
              <w:spacing w:after="0" w:line="240" w:lineRule="auto"/>
            </w:pPr>
            <w:r>
              <w:rPr>
                <w:rFonts w:ascii="Arial" w:hAnsi="Arial"/>
                <w:sz w:val="14"/>
              </w:rPr>
              <w:t>30.92</w:t>
            </w:r>
          </w:p>
        </w:tc>
      </w:tr>
    </w:tbl>
    <w:p>
      <w:pPr>
        <w:spacing w:after="60" w:line="240" w:lineRule="auto"/>
      </w:pPr>
      <w:r>
        <w:rPr>
          <w:rFonts w:ascii="Arial" w:hAnsi="Arial"/>
          <w:b w:val="0"/>
          <w:i w:val="0"/>
          <w:sz w:val="17"/>
        </w:rPr>
        <w:t>EfficientNetB0 was selected because it achieved the strongest ROC-AUC, accuracy, and F1-score.</w:t>
      </w:r>
    </w:p>
    <w:tbl>
      <w:tblPr>
        <w:tblStyle w:val="TableGrid"/>
        <w:tblW w:type="auto" w:w="0"/>
        <w:tblLayout w:type="autofit"/>
        <w:tblLook w:firstColumn="1" w:firstRow="1" w:lastColumn="0" w:lastRow="0" w:noHBand="0" w:noVBand="1" w:val="04A0"/>
      </w:tblPr>
      <w:tblGrid>
        <w:gridCol w:w="5328"/>
        <w:gridCol w:w="5328"/>
      </w:tblGrid>
      <w:tr>
        <w:tc>
          <w:tcPr>
            <w:tcW w:type="dxa" w:w="5328"/>
          </w:tcPr>
          <w:p>
            <w:pPr>
              <w:spacing w:after="0" w:line="240" w:lineRule="auto"/>
              <w:jc w:val="center"/>
            </w:pPr>
            <w:r>
              <w:rPr>
                <w:rFonts w:ascii="Arial" w:hAnsi="Arial"/>
                <w:sz w:val="14"/>
              </w:rPr>
              <w:drawing>
                <wp:inline xmlns:a="http://schemas.openxmlformats.org/drawingml/2006/main" xmlns:pic="http://schemas.openxmlformats.org/drawingml/2006/picture">
                  <wp:extent cx="2971800" cy="1584960"/>
                  <wp:docPr id="5" name="Picture 5"/>
                  <wp:cNvGraphicFramePr>
                    <a:graphicFrameLocks noChangeAspect="1"/>
                  </wp:cNvGraphicFramePr>
                  <a:graphic>
                    <a:graphicData uri="http://schemas.openxmlformats.org/drawingml/2006/picture">
                      <pic:pic>
                        <pic:nvPicPr>
                          <pic:cNvPr id="0" name="liveness_kaixiang_model_comparison.png"/>
                          <pic:cNvPicPr/>
                        </pic:nvPicPr>
                        <pic:blipFill>
                          <a:blip r:embed="rId13"/>
                          <a:stretch>
                            <a:fillRect/>
                          </a:stretch>
                        </pic:blipFill>
                        <pic:spPr>
                          <a:xfrm>
                            <a:off x="0" y="0"/>
                            <a:ext cx="2971800" cy="1584960"/>
                          </a:xfrm>
                          <a:prstGeom prst="rect"/>
                        </pic:spPr>
                      </pic:pic>
                    </a:graphicData>
                  </a:graphic>
                </wp:inline>
              </w:drawing>
            </w:r>
          </w:p>
        </w:tc>
        <w:tc>
          <w:tcPr>
            <w:tcW w:type="dxa" w:w="5328"/>
          </w:tcPr>
          <w:p>
            <w:pPr>
              <w:spacing w:after="0" w:line="240" w:lineRule="auto"/>
              <w:jc w:val="center"/>
            </w:pPr>
            <w:r>
              <w:rPr>
                <w:rFonts w:ascii="Arial" w:hAnsi="Arial"/>
                <w:sz w:val="14"/>
              </w:rPr>
              <w:drawing>
                <wp:inline xmlns:a="http://schemas.openxmlformats.org/drawingml/2006/main" xmlns:pic="http://schemas.openxmlformats.org/drawingml/2006/picture">
                  <wp:extent cx="2971800" cy="1857375"/>
                  <wp:docPr id="6" name="Picture 6"/>
                  <wp:cNvGraphicFramePr>
                    <a:graphicFrameLocks noChangeAspect="1"/>
                  </wp:cNvGraphicFramePr>
                  <a:graphic>
                    <a:graphicData uri="http://schemas.openxmlformats.org/drawingml/2006/picture">
                      <pic:pic>
                        <pic:nvPicPr>
                          <pic:cNvPr id="0" name="liveness_best_score_distribution.png"/>
                          <pic:cNvPicPr/>
                        </pic:nvPicPr>
                        <pic:blipFill>
                          <a:blip r:embed="rId14"/>
                          <a:stretch>
                            <a:fillRect/>
                          </a:stretch>
                        </pic:blipFill>
                        <pic:spPr>
                          <a:xfrm>
                            <a:off x="0" y="0"/>
                            <a:ext cx="2971800" cy="1857375"/>
                          </a:xfrm>
                          <a:prstGeom prst="rect"/>
                        </pic:spPr>
                      </pic:pic>
                    </a:graphicData>
                  </a:graphic>
                </wp:inline>
              </w:drawing>
            </w:r>
          </w:p>
        </w:tc>
      </w:tr>
      <w:tr>
        <w:tc>
          <w:tcPr>
            <w:tcW w:type="dxa" w:w="5328"/>
          </w:tcPr>
          <w:p>
            <w:pPr>
              <w:spacing w:after="0" w:line="240" w:lineRule="auto"/>
              <w:jc w:val="center"/>
            </w:pPr>
            <w:r>
              <w:rPr>
                <w:rFonts w:ascii="Arial" w:hAnsi="Arial"/>
                <w:b w:val="0"/>
                <w:i/>
                <w:sz w:val="14"/>
              </w:rPr>
              <w:t>Figure 5. Kaixiang liveness model comparison.</w:t>
            </w:r>
          </w:p>
        </w:tc>
        <w:tc>
          <w:tcPr>
            <w:tcW w:type="dxa" w:w="5328"/>
          </w:tcPr>
          <w:p>
            <w:pPr>
              <w:spacing w:after="0" w:line="240" w:lineRule="auto"/>
              <w:jc w:val="center"/>
            </w:pPr>
            <w:r>
              <w:rPr>
                <w:rFonts w:ascii="Arial" w:hAnsi="Arial"/>
                <w:b w:val="0"/>
                <w:i/>
                <w:sz w:val="14"/>
              </w:rPr>
              <w:t>Figure 6. EfficientNetB0 score distribution.</w:t>
            </w:r>
          </w:p>
        </w:tc>
      </w:tr>
    </w:tbl>
    <w:p>
      <w:pPr>
        <w:spacing w:before="80" w:after="60"/>
      </w:pPr>
      <w:r>
        <w:rPr>
          <w:rFonts w:ascii="Arial" w:hAnsi="Arial"/>
          <w:b/>
          <w:sz w:val="21"/>
        </w:rPr>
        <w:t>4.3 Innovative Feature: Glasses Detection</w:t>
      </w:r>
    </w:p>
    <w:p>
      <w:pPr>
        <w:spacing w:after="60" w:line="240" w:lineRule="auto"/>
      </w:pPr>
      <w:r>
        <w:rPr>
          <w:rFonts w:ascii="Arial" w:hAnsi="Arial"/>
          <w:b w:val="0"/>
          <w:i w:val="0"/>
          <w:sz w:val="17"/>
        </w:rPr>
        <w:t>Glasses detection was added as an independent innovative feature. It predicts whether the detected user is wearing glasses and can provide extra appearance information during attendance. The feature is separate from recognition and liveness detection.</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tcPr>
          <w:p>
            <w:pPr>
              <w:spacing w:after="0" w:line="240" w:lineRule="auto"/>
            </w:pPr>
            <w:r>
              <w:rPr>
                <w:rFonts w:ascii="Arial" w:hAnsi="Arial"/>
                <w:b/>
                <w:sz w:val="14"/>
              </w:rPr>
              <w:t>Model</w:t>
            </w:r>
          </w:p>
        </w:tc>
        <w:tc>
          <w:tcPr>
            <w:tcW w:type="dxa" w:w="1776"/>
          </w:tcPr>
          <w:p>
            <w:pPr>
              <w:spacing w:after="0" w:line="240" w:lineRule="auto"/>
            </w:pPr>
            <w:r>
              <w:rPr>
                <w:rFonts w:ascii="Arial" w:hAnsi="Arial"/>
                <w:b/>
                <w:sz w:val="14"/>
              </w:rPr>
              <w:t>Acc</w:t>
            </w:r>
          </w:p>
        </w:tc>
        <w:tc>
          <w:tcPr>
            <w:tcW w:type="dxa" w:w="1776"/>
          </w:tcPr>
          <w:p>
            <w:pPr>
              <w:spacing w:after="0" w:line="240" w:lineRule="auto"/>
            </w:pPr>
            <w:r>
              <w:rPr>
                <w:rFonts w:ascii="Arial" w:hAnsi="Arial"/>
                <w:b/>
                <w:sz w:val="14"/>
              </w:rPr>
              <w:t>Precision</w:t>
            </w:r>
          </w:p>
        </w:tc>
        <w:tc>
          <w:tcPr>
            <w:tcW w:type="dxa" w:w="1776"/>
          </w:tcPr>
          <w:p>
            <w:pPr>
              <w:spacing w:after="0" w:line="240" w:lineRule="auto"/>
            </w:pPr>
            <w:r>
              <w:rPr>
                <w:rFonts w:ascii="Arial" w:hAnsi="Arial"/>
                <w:b/>
                <w:sz w:val="14"/>
              </w:rPr>
              <w:t>Recall</w:t>
            </w:r>
          </w:p>
        </w:tc>
        <w:tc>
          <w:tcPr>
            <w:tcW w:type="dxa" w:w="1776"/>
          </w:tcPr>
          <w:p>
            <w:pPr>
              <w:spacing w:after="0" w:line="240" w:lineRule="auto"/>
            </w:pPr>
            <w:r>
              <w:rPr>
                <w:rFonts w:ascii="Arial" w:hAnsi="Arial"/>
                <w:b/>
                <w:sz w:val="14"/>
              </w:rPr>
              <w:t>F1</w:t>
            </w:r>
          </w:p>
        </w:tc>
        <w:tc>
          <w:tcPr>
            <w:tcW w:type="dxa" w:w="1776"/>
          </w:tcPr>
          <w:p>
            <w:pPr>
              <w:spacing w:after="0" w:line="240" w:lineRule="auto"/>
            </w:pPr>
            <w:r>
              <w:rPr>
                <w:rFonts w:ascii="Arial" w:hAnsi="Arial"/>
                <w:b/>
                <w:sz w:val="14"/>
              </w:rPr>
              <w:t>FPS</w:t>
            </w:r>
          </w:p>
        </w:tc>
      </w:tr>
      <w:tr>
        <w:tc>
          <w:tcPr>
            <w:tcW w:type="dxa" w:w="1776"/>
          </w:tcPr>
          <w:p>
            <w:pPr>
              <w:spacing w:after="0" w:line="240" w:lineRule="auto"/>
            </w:pPr>
            <w:r>
              <w:rPr>
                <w:rFonts w:ascii="Arial" w:hAnsi="Arial"/>
                <w:sz w:val="14"/>
              </w:rPr>
              <w:t>MobileNetV2 + binary head</w:t>
            </w:r>
          </w:p>
        </w:tc>
        <w:tc>
          <w:tcPr>
            <w:tcW w:type="dxa" w:w="1776"/>
          </w:tcPr>
          <w:p>
            <w:pPr>
              <w:spacing w:after="0" w:line="240" w:lineRule="auto"/>
            </w:pPr>
            <w:r>
              <w:rPr>
                <w:rFonts w:ascii="Arial" w:hAnsi="Arial"/>
                <w:sz w:val="14"/>
              </w:rPr>
              <w:t>0.9932</w:t>
            </w:r>
          </w:p>
        </w:tc>
        <w:tc>
          <w:tcPr>
            <w:tcW w:type="dxa" w:w="1776"/>
          </w:tcPr>
          <w:p>
            <w:pPr>
              <w:spacing w:after="0" w:line="240" w:lineRule="auto"/>
            </w:pPr>
            <w:r>
              <w:rPr>
                <w:rFonts w:ascii="Arial" w:hAnsi="Arial"/>
                <w:sz w:val="14"/>
              </w:rPr>
              <w:t>0.9892</w:t>
            </w:r>
          </w:p>
        </w:tc>
        <w:tc>
          <w:tcPr>
            <w:tcW w:type="dxa" w:w="1776"/>
          </w:tcPr>
          <w:p>
            <w:pPr>
              <w:spacing w:after="0" w:line="240" w:lineRule="auto"/>
            </w:pPr>
            <w:r>
              <w:rPr>
                <w:rFonts w:ascii="Arial" w:hAnsi="Arial"/>
                <w:sz w:val="14"/>
              </w:rPr>
              <w:t>0.9942</w:t>
            </w:r>
          </w:p>
        </w:tc>
        <w:tc>
          <w:tcPr>
            <w:tcW w:type="dxa" w:w="1776"/>
          </w:tcPr>
          <w:p>
            <w:pPr>
              <w:spacing w:after="0" w:line="240" w:lineRule="auto"/>
            </w:pPr>
            <w:r>
              <w:rPr>
                <w:rFonts w:ascii="Arial" w:hAnsi="Arial"/>
                <w:sz w:val="14"/>
              </w:rPr>
              <w:t>0.9917</w:t>
            </w:r>
          </w:p>
        </w:tc>
        <w:tc>
          <w:tcPr>
            <w:tcW w:type="dxa" w:w="1776"/>
          </w:tcPr>
          <w:p>
            <w:pPr>
              <w:spacing w:after="0" w:line="240" w:lineRule="auto"/>
            </w:pPr>
            <w:r>
              <w:rPr>
                <w:rFonts w:ascii="Arial" w:hAnsi="Arial"/>
                <w:sz w:val="14"/>
              </w:rPr>
              <w:t>119.12</w:t>
            </w:r>
          </w:p>
        </w:tc>
      </w:tr>
      <w:tr>
        <w:tc>
          <w:tcPr>
            <w:tcW w:type="dxa" w:w="1776"/>
          </w:tcPr>
          <w:p>
            <w:pPr>
              <w:spacing w:after="0" w:line="240" w:lineRule="auto"/>
            </w:pPr>
            <w:r>
              <w:rPr>
                <w:rFonts w:ascii="Arial" w:hAnsi="Arial"/>
                <w:sz w:val="14"/>
              </w:rPr>
              <w:t>EfficientNetB0 + binary head</w:t>
            </w:r>
          </w:p>
        </w:tc>
        <w:tc>
          <w:tcPr>
            <w:tcW w:type="dxa" w:w="1776"/>
          </w:tcPr>
          <w:p>
            <w:pPr>
              <w:spacing w:after="0" w:line="240" w:lineRule="auto"/>
            </w:pPr>
            <w:r>
              <w:rPr>
                <w:rFonts w:ascii="Arial" w:hAnsi="Arial"/>
                <w:sz w:val="14"/>
              </w:rPr>
              <w:t>0.9923</w:t>
            </w:r>
          </w:p>
        </w:tc>
        <w:tc>
          <w:tcPr>
            <w:tcW w:type="dxa" w:w="1776"/>
          </w:tcPr>
          <w:p>
            <w:pPr>
              <w:spacing w:after="0" w:line="240" w:lineRule="auto"/>
            </w:pPr>
            <w:r>
              <w:rPr>
                <w:rFonts w:ascii="Arial" w:hAnsi="Arial"/>
                <w:sz w:val="14"/>
              </w:rPr>
              <w:t>0.9884</w:t>
            </w:r>
          </w:p>
        </w:tc>
        <w:tc>
          <w:tcPr>
            <w:tcW w:type="dxa" w:w="1776"/>
          </w:tcPr>
          <w:p>
            <w:pPr>
              <w:spacing w:after="0" w:line="240" w:lineRule="auto"/>
            </w:pPr>
            <w:r>
              <w:rPr>
                <w:rFonts w:ascii="Arial" w:hAnsi="Arial"/>
                <w:sz w:val="14"/>
              </w:rPr>
              <w:t>0.9927</w:t>
            </w:r>
          </w:p>
        </w:tc>
        <w:tc>
          <w:tcPr>
            <w:tcW w:type="dxa" w:w="1776"/>
          </w:tcPr>
          <w:p>
            <w:pPr>
              <w:spacing w:after="0" w:line="240" w:lineRule="auto"/>
            </w:pPr>
            <w:r>
              <w:rPr>
                <w:rFonts w:ascii="Arial" w:hAnsi="Arial"/>
                <w:sz w:val="14"/>
              </w:rPr>
              <w:t>0.9906</w:t>
            </w:r>
          </w:p>
        </w:tc>
        <w:tc>
          <w:tcPr>
            <w:tcW w:type="dxa" w:w="1776"/>
          </w:tcPr>
          <w:p>
            <w:pPr>
              <w:spacing w:after="0" w:line="240" w:lineRule="auto"/>
            </w:pPr>
            <w:r>
              <w:rPr>
                <w:rFonts w:ascii="Arial" w:hAnsi="Arial"/>
                <w:sz w:val="14"/>
              </w:rPr>
              <w:t>103.52</w:t>
            </w:r>
          </w:p>
        </w:tc>
      </w:tr>
    </w:tbl>
    <w:tbl>
      <w:tblPr>
        <w:tblStyle w:val="TableGrid"/>
        <w:tblW w:type="auto" w:w="0"/>
        <w:tblLayout w:type="autofit"/>
        <w:tblLook w:firstColumn="1" w:firstRow="1" w:lastColumn="0" w:lastRow="0" w:noHBand="0" w:noVBand="1" w:val="04A0"/>
      </w:tblPr>
      <w:tblGrid>
        <w:gridCol w:w="5328"/>
        <w:gridCol w:w="5328"/>
      </w:tblGrid>
      <w:tr>
        <w:tc>
          <w:tcPr>
            <w:tcW w:type="dxa" w:w="5328"/>
          </w:tcPr>
          <w:p>
            <w:pPr>
              <w:spacing w:after="0" w:line="240" w:lineRule="auto"/>
              <w:jc w:val="center"/>
            </w:pPr>
            <w:r>
              <w:rPr>
                <w:rFonts w:ascii="Arial" w:hAnsi="Arial"/>
                <w:sz w:val="14"/>
              </w:rPr>
              <w:drawing>
                <wp:inline xmlns:a="http://schemas.openxmlformats.org/drawingml/2006/main" xmlns:pic="http://schemas.openxmlformats.org/drawingml/2006/picture">
                  <wp:extent cx="2971800" cy="1584960"/>
                  <wp:docPr id="7" name="Picture 7"/>
                  <wp:cNvGraphicFramePr>
                    <a:graphicFrameLocks noChangeAspect="1"/>
                  </wp:cNvGraphicFramePr>
                  <a:graphic>
                    <a:graphicData uri="http://schemas.openxmlformats.org/drawingml/2006/picture">
                      <pic:pic>
                        <pic:nvPicPr>
                          <pic:cNvPr id="0" name="glasses_kaixiang_model_comparison.png"/>
                          <pic:cNvPicPr/>
                        </pic:nvPicPr>
                        <pic:blipFill>
                          <a:blip r:embed="rId15"/>
                          <a:stretch>
                            <a:fillRect/>
                          </a:stretch>
                        </pic:blipFill>
                        <pic:spPr>
                          <a:xfrm>
                            <a:off x="0" y="0"/>
                            <a:ext cx="2971800" cy="1584960"/>
                          </a:xfrm>
                          <a:prstGeom prst="rect"/>
                        </pic:spPr>
                      </pic:pic>
                    </a:graphicData>
                  </a:graphic>
                </wp:inline>
              </w:drawing>
            </w:r>
          </w:p>
        </w:tc>
        <w:tc>
          <w:tcPr>
            <w:tcW w:type="dxa" w:w="5328"/>
          </w:tcPr>
          <w:p>
            <w:pPr>
              <w:spacing w:after="0" w:line="240" w:lineRule="auto"/>
              <w:jc w:val="center"/>
            </w:pPr>
            <w:r>
              <w:rPr>
                <w:rFonts w:ascii="Arial" w:hAnsi="Arial"/>
                <w:sz w:val="14"/>
              </w:rPr>
              <w:drawing>
                <wp:inline xmlns:a="http://schemas.openxmlformats.org/drawingml/2006/main" xmlns:pic="http://schemas.openxmlformats.org/drawingml/2006/picture">
                  <wp:extent cx="2971800" cy="2541671"/>
                  <wp:docPr id="8" name="Picture 8"/>
                  <wp:cNvGraphicFramePr>
                    <a:graphicFrameLocks noChangeAspect="1"/>
                  </wp:cNvGraphicFramePr>
                  <a:graphic>
                    <a:graphicData uri="http://schemas.openxmlformats.org/drawingml/2006/picture">
                      <pic:pic>
                        <pic:nvPicPr>
                          <pic:cNvPr id="0" name="glasses_mobilenetv2_confusion_matrix.png"/>
                          <pic:cNvPicPr/>
                        </pic:nvPicPr>
                        <pic:blipFill>
                          <a:blip r:embed="rId16"/>
                          <a:stretch>
                            <a:fillRect/>
                          </a:stretch>
                        </pic:blipFill>
                        <pic:spPr>
                          <a:xfrm>
                            <a:off x="0" y="0"/>
                            <a:ext cx="2971800" cy="2541671"/>
                          </a:xfrm>
                          <a:prstGeom prst="rect"/>
                        </pic:spPr>
                      </pic:pic>
                    </a:graphicData>
                  </a:graphic>
                </wp:inline>
              </w:drawing>
            </w:r>
          </w:p>
        </w:tc>
      </w:tr>
      <w:tr>
        <w:tc>
          <w:tcPr>
            <w:tcW w:type="dxa" w:w="5328"/>
          </w:tcPr>
          <w:p>
            <w:pPr>
              <w:spacing w:after="0" w:line="240" w:lineRule="auto"/>
              <w:jc w:val="center"/>
            </w:pPr>
            <w:r>
              <w:rPr>
                <w:rFonts w:ascii="Arial" w:hAnsi="Arial"/>
                <w:b w:val="0"/>
                <w:i/>
                <w:sz w:val="14"/>
              </w:rPr>
              <w:t>Figure 7. Glasses model comparison.</w:t>
            </w:r>
          </w:p>
        </w:tc>
        <w:tc>
          <w:tcPr>
            <w:tcW w:type="dxa" w:w="5328"/>
          </w:tcPr>
          <w:p>
            <w:pPr>
              <w:spacing w:after="0" w:line="240" w:lineRule="auto"/>
              <w:jc w:val="center"/>
            </w:pPr>
            <w:r>
              <w:rPr>
                <w:rFonts w:ascii="Arial" w:hAnsi="Arial"/>
                <w:b w:val="0"/>
                <w:i/>
                <w:sz w:val="14"/>
              </w:rPr>
              <w:t>Figure 8. Final glasses confusion matrix.</w:t>
            </w:r>
          </w:p>
        </w:tc>
      </w:tr>
    </w:tbl>
    <w:p>
      <w:pPr>
        <w:spacing w:before="120" w:after="60"/>
      </w:pPr>
      <w:r>
        <w:rPr>
          <w:rFonts w:ascii="Arial" w:hAnsi="Arial"/>
          <w:b/>
          <w:sz w:val="26"/>
        </w:rPr>
        <w:t>5. Challenges and Resolutions</w:t>
      </w:r>
    </w:p>
    <w:p>
      <w:pPr>
        <w:pStyle w:val="ListBullet"/>
        <w:spacing w:after="20" w:line="240" w:lineRule="auto"/>
      </w:pPr>
      <w:r>
        <w:rPr>
          <w:rFonts w:ascii="Arial" w:hAnsi="Arial"/>
          <w:b w:val="0"/>
          <w:i w:val="0"/>
          <w:sz w:val="17"/>
        </w:rPr>
        <w:t>Dataset stability: the original verification dataset did not generalise well in smoke tests, so I used VGGFace2 and identity-disjoint train/validation/test splits.</w:t>
      </w:r>
    </w:p>
    <w:p>
      <w:pPr>
        <w:pStyle w:val="ListBullet"/>
        <w:spacing w:after="20" w:line="240" w:lineRule="auto"/>
      </w:pPr>
      <w:r>
        <w:rPr>
          <w:rFonts w:ascii="Arial" w:hAnsi="Arial"/>
          <w:b w:val="0"/>
          <w:i w:val="0"/>
          <w:sz w:val="17"/>
        </w:rPr>
        <w:t>Model compliance: to satisfy the rule against fully pre-trained models, all final models replaced the classification head and were further trained or fine-tuned.</w:t>
      </w:r>
    </w:p>
    <w:p>
      <w:pPr>
        <w:pStyle w:val="ListBullet"/>
        <w:spacing w:after="20" w:line="240" w:lineRule="auto"/>
      </w:pPr>
      <w:r>
        <w:rPr>
          <w:rFonts w:ascii="Arial" w:hAnsi="Arial"/>
          <w:b w:val="0"/>
          <w:i w:val="0"/>
          <w:sz w:val="17"/>
        </w:rPr>
        <w:t>Webcam recognition instability: similar-looking identities caused small embedding gaps, so I used thresholding, ambiguity rejection, gallery embeddings, and temporal smoothing in integration testing.</w:t>
      </w:r>
    </w:p>
    <w:p>
      <w:pPr>
        <w:pStyle w:val="ListBullet"/>
        <w:spacing w:after="20" w:line="240" w:lineRule="auto"/>
      </w:pPr>
      <w:r>
        <w:rPr>
          <w:rFonts w:ascii="Arial" w:hAnsi="Arial"/>
          <w:b w:val="0"/>
          <w:i w:val="0"/>
          <w:sz w:val="17"/>
        </w:rPr>
        <w:t>Liveness false acceptance: tight face crops sometimes missed spoof context, so I tested expanded liveness crops and adjusted the decision threshold for better real-world behaviour.</w:t>
      </w:r>
    </w:p>
    <w:p>
      <w:pPr>
        <w:spacing w:before="120" w:after="60"/>
      </w:pPr>
      <w:r>
        <w:rPr>
          <w:rFonts w:ascii="Arial" w:hAnsi="Arial"/>
          <w:b/>
          <w:sz w:val="26"/>
        </w:rPr>
        <w:t>6. Final Reflection</w:t>
      </w:r>
    </w:p>
    <w:p>
      <w:pPr>
        <w:spacing w:after="60" w:line="240" w:lineRule="auto"/>
      </w:pPr>
      <w:r>
        <w:rPr>
          <w:rFonts w:ascii="Arial" w:hAnsi="Arial"/>
          <w:b w:val="0"/>
          <w:i w:val="0"/>
          <w:sz w:val="18"/>
        </w:rPr>
        <w:t>Overall, Triplet ResNet18 was the strongest metric-learning model, EfficientNetB0 was the strongest liveness model, and MobileNetV2 was the best glasses model. The main lesson was that good offline AUC does not always guarantee stable webcam behaviour, so final integration required both quantitative evaluation and real-time testing under practical lighting, crop, and identity-similarity conditions.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