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CF4F63" w14:textId="1179DC12" w:rsidR="00661045" w:rsidRPr="00B13A25" w:rsidRDefault="00015FC4" w:rsidP="002B33C4">
      <w:pPr>
        <w:pStyle w:val="Articletitle"/>
      </w:pPr>
      <w:r w:rsidRPr="00B13A25">
        <w:t>Assessing the impact of increasing education provision on EU productivity</w:t>
      </w:r>
    </w:p>
    <w:p w14:paraId="6E2562CD" w14:textId="1D2806C1" w:rsidR="00442B9C" w:rsidRPr="00B13A25" w:rsidRDefault="00A8625A" w:rsidP="002B33C4">
      <w:pPr>
        <w:pStyle w:val="Authornames"/>
      </w:pPr>
      <w:r w:rsidRPr="00B13A25">
        <w:t>Jack O’Callaghan</w:t>
      </w:r>
      <w:r w:rsidR="007D51DE">
        <w:t xml:space="preserve"> </w:t>
      </w:r>
    </w:p>
    <w:p w14:paraId="2B4C4A82" w14:textId="38FCD96F" w:rsidR="00997B0F" w:rsidRPr="00B13A25" w:rsidRDefault="00B64FA3" w:rsidP="002B33C4">
      <w:pPr>
        <w:pStyle w:val="Affiliation"/>
      </w:pPr>
      <w:r w:rsidRPr="00B13A25">
        <w:t>University</w:t>
      </w:r>
      <w:r w:rsidR="00A8625A" w:rsidRPr="00B13A25">
        <w:t xml:space="preserve"> of Kent</w:t>
      </w:r>
    </w:p>
    <w:p w14:paraId="28D336C5" w14:textId="47D3C04D" w:rsidR="000A4428" w:rsidRPr="00B13A25" w:rsidRDefault="00000000" w:rsidP="002B33C4">
      <w:pPr>
        <w:pStyle w:val="Correspondencedetails"/>
      </w:pPr>
      <w:hyperlink r:id="rId8" w:history="1">
        <w:r w:rsidR="00A8625A" w:rsidRPr="00B13A25">
          <w:rPr>
            <w:rStyle w:val="Hyperlink"/>
          </w:rPr>
          <w:t>jno6@kent.ac.uk</w:t>
        </w:r>
      </w:hyperlink>
    </w:p>
    <w:p w14:paraId="04E7AEAA" w14:textId="09B96CD3" w:rsidR="00C246C5" w:rsidRPr="00B13A25" w:rsidRDefault="00C14585" w:rsidP="002B33C4">
      <w:pPr>
        <w:pStyle w:val="Articletitle"/>
      </w:pPr>
      <w:r w:rsidRPr="00B13A25">
        <w:br w:type="page"/>
      </w:r>
      <w:r w:rsidR="002A1A3E" w:rsidRPr="00B13A25">
        <w:lastRenderedPageBreak/>
        <w:t>Assessing the impact of increasing education provision on EU productivity</w:t>
      </w:r>
    </w:p>
    <w:p w14:paraId="00B3384B" w14:textId="5CF11323" w:rsidR="00997B0F" w:rsidRPr="00B13A25" w:rsidRDefault="00744FFC" w:rsidP="002B33C4">
      <w:pPr>
        <w:pStyle w:val="Heading1"/>
        <w:rPr>
          <w:rFonts w:cs="Times New Roman"/>
        </w:rPr>
      </w:pPr>
      <w:r w:rsidRPr="00B13A25">
        <w:rPr>
          <w:rFonts w:cs="Times New Roman"/>
        </w:rPr>
        <w:t>Introduction</w:t>
      </w:r>
    </w:p>
    <w:p w14:paraId="1103A6D7" w14:textId="77777777" w:rsidR="00702B4D" w:rsidRPr="00B13A25" w:rsidRDefault="00702B4D" w:rsidP="002B33C4">
      <w:pPr>
        <w:spacing w:line="360" w:lineRule="auto"/>
      </w:pPr>
      <w:r w:rsidRPr="00B13A25">
        <w:t>Over the past 50 years, there has been a significant expansion in provision of education across economically developed countries. In the early 1960s, very few students were able to access higher education, and even secondary education was unavailable to most young people in many countries.</w:t>
      </w:r>
      <w:r w:rsidRPr="00B13A25">
        <w:rPr>
          <w:rStyle w:val="FootnoteReference"/>
        </w:rPr>
        <w:footnoteReference w:id="1"/>
      </w:r>
    </w:p>
    <w:p w14:paraId="542441BF" w14:textId="77777777" w:rsidR="00702B4D" w:rsidRPr="00B13A25" w:rsidRDefault="00702B4D" w:rsidP="002B33C4">
      <w:pPr>
        <w:spacing w:line="360" w:lineRule="auto"/>
      </w:pPr>
      <w:r w:rsidRPr="00B13A25">
        <w:t xml:space="preserve">Since then, we have seen large expansions in education provision, giving rise to the question: “has the increase in education provision in economically developed countries positively impacted nations’ productivity?”. </w:t>
      </w:r>
      <w:commentRangeStart w:id="0"/>
      <w:r w:rsidRPr="00B13A25">
        <w:t>This is of particular importance to policymakers and politicians, to inform decision-making around the long-term impact of changes to provision of education</w:t>
      </w:r>
      <w:commentRangeEnd w:id="0"/>
      <w:r w:rsidR="00BA00CE">
        <w:rPr>
          <w:rStyle w:val="CommentReference"/>
        </w:rPr>
        <w:commentReference w:id="0"/>
      </w:r>
      <w:r w:rsidRPr="00B13A25">
        <w:t>. Due to data limitations, this analysis focuses solely on EU nations, as well as the United Kingdom.</w:t>
      </w:r>
    </w:p>
    <w:p w14:paraId="45485195" w14:textId="0792063E" w:rsidR="00744FFC" w:rsidRPr="00B13A25" w:rsidRDefault="00744FFC" w:rsidP="002B33C4">
      <w:pPr>
        <w:pStyle w:val="Heading1"/>
        <w:rPr>
          <w:rFonts w:cs="Times New Roman"/>
        </w:rPr>
      </w:pPr>
      <w:r w:rsidRPr="00B13A25">
        <w:rPr>
          <w:rFonts w:cs="Times New Roman"/>
        </w:rPr>
        <w:t>Data</w:t>
      </w:r>
    </w:p>
    <w:p w14:paraId="1F9FD30D" w14:textId="47451B73" w:rsidR="00684187" w:rsidRPr="00B13A25" w:rsidRDefault="009A6F07" w:rsidP="002B33C4">
      <w:pPr>
        <w:spacing w:line="360" w:lineRule="auto"/>
      </w:pPr>
      <w:r>
        <w:t>The data used</w:t>
      </w:r>
      <w:r w:rsidR="00684187" w:rsidRPr="00B13A25">
        <w:t xml:space="preserve"> are panel data of economic and educational variables for 22 European countries between 1970 and 2015. The data sets used in this analysis can be obtained using either the original source link or in the GitHub repository below. The R script used to produce the combined data set can be examined using the </w:t>
      </w:r>
      <w:r w:rsidR="00BA00CE">
        <w:t xml:space="preserve">same repository </w:t>
      </w:r>
      <w:r w:rsidR="00684187" w:rsidRPr="00B13A25">
        <w:t>link.</w:t>
      </w:r>
    </w:p>
    <w:p w14:paraId="517053A4" w14:textId="7C36F544" w:rsidR="00684187" w:rsidRPr="00B13A25" w:rsidRDefault="00684187" w:rsidP="002B33C4">
      <w:pPr>
        <w:spacing w:line="360" w:lineRule="auto"/>
      </w:pPr>
      <w:r w:rsidRPr="00B13A25">
        <w:t xml:space="preserve">Using </w:t>
      </w:r>
      <w:r w:rsidR="001044C0">
        <w:t>F</w:t>
      </w:r>
      <w:r w:rsidRPr="00B13A25">
        <w:t xml:space="preserve">igure 1 below, we can identify two key trends in education over time. Firstly, we have seen a significant rise in the average number of years of education over the 45 years examined. Secondly, the data appears to have become more </w:t>
      </w:r>
      <w:commentRangeStart w:id="1"/>
      <w:r w:rsidRPr="00B13A25">
        <w:t>leptokurtic</w:t>
      </w:r>
      <w:commentRangeEnd w:id="1"/>
      <w:r w:rsidR="0069667E">
        <w:rPr>
          <w:rStyle w:val="CommentReference"/>
        </w:rPr>
        <w:commentReference w:id="1"/>
      </w:r>
      <w:r w:rsidRPr="00B13A25">
        <w:t xml:space="preserve"> over time, as the number of years in education has become more standardised across nations. This might be a potential source of heteroscedasticity within models, as error sizes might increase over time, and may imply a need for heteroscedasticity-robust (HAC) standard errors in later models.</w:t>
      </w:r>
    </w:p>
    <w:p w14:paraId="5D45A413" w14:textId="77777777" w:rsidR="00684187" w:rsidRPr="00B13A25" w:rsidRDefault="00684187" w:rsidP="002B33C4">
      <w:pPr>
        <w:pStyle w:val="Heading2"/>
        <w:rPr>
          <w:rFonts w:cs="Times New Roman"/>
        </w:rPr>
      </w:pPr>
      <w:r w:rsidRPr="00B13A25">
        <w:rPr>
          <w:rFonts w:cs="Times New Roman"/>
        </w:rPr>
        <w:lastRenderedPageBreak/>
        <w:t>Figure 1: Change in the distribution of average years of education over time</w:t>
      </w:r>
    </w:p>
    <w:p w14:paraId="53B46383" w14:textId="77777777" w:rsidR="00684187" w:rsidRPr="00B13A25" w:rsidRDefault="00684187" w:rsidP="002B33C4">
      <w:pPr>
        <w:spacing w:line="360" w:lineRule="auto"/>
      </w:pPr>
      <w:r w:rsidRPr="00B13A25">
        <w:rPr>
          <w:noProof/>
        </w:rPr>
        <w:drawing>
          <wp:inline distT="0" distB="0" distL="0" distR="0" wp14:anchorId="6F8FB1A7" wp14:editId="769F45DB">
            <wp:extent cx="4826375" cy="2721254"/>
            <wp:effectExtent l="0" t="0" r="0" b="3175"/>
            <wp:docPr id="312029647" name="Graphic 312029647">
              <a:extLst xmlns:a="http://schemas.openxmlformats.org/drawingml/2006/main">
                <a:ext uri="{FF2B5EF4-FFF2-40B4-BE49-F238E27FC236}">
                  <a16:creationId xmlns:a16="http://schemas.microsoft.com/office/drawing/2014/main" id="{82DF18D7-D6F2-2BD6-75AB-674A2F5F86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3">
                      <a:extLst>
                        <a:ext uri="{FF2B5EF4-FFF2-40B4-BE49-F238E27FC236}">
                          <a16:creationId xmlns:a16="http://schemas.microsoft.com/office/drawing/2014/main" id="{82DF18D7-D6F2-2BD6-75AB-674A2F5F8685}"/>
                        </a:ext>
                      </a:extLst>
                    </pic:cNvPr>
                    <pic:cNvPicPr>
                      <a:picLocks noChangeAspect="1"/>
                    </pic:cNvPicPr>
                  </pic:nvPicPr>
                  <pic:blipFill rotWithShape="1">
                    <a:blip r:embed="rId13">
                      <a:extLst>
                        <a:ext uri="{96DAC541-7B7A-43D3-8B79-37D633B846F1}">
                          <asvg:svgBlip xmlns:asvg="http://schemas.microsoft.com/office/drawing/2016/SVG/main" r:embed="rId14"/>
                        </a:ext>
                      </a:extLst>
                    </a:blip>
                    <a:srcRect r="9827"/>
                    <a:stretch/>
                  </pic:blipFill>
                  <pic:spPr bwMode="auto">
                    <a:xfrm>
                      <a:off x="0" y="0"/>
                      <a:ext cx="4878843" cy="2750837"/>
                    </a:xfrm>
                    <a:prstGeom prst="rect">
                      <a:avLst/>
                    </a:prstGeom>
                    <a:ln>
                      <a:noFill/>
                    </a:ln>
                    <a:extLst>
                      <a:ext uri="{53640926-AAD7-44D8-BBD7-CCE9431645EC}">
                        <a14:shadowObscured xmlns:a14="http://schemas.microsoft.com/office/drawing/2010/main"/>
                      </a:ext>
                    </a:extLst>
                  </pic:spPr>
                </pic:pic>
              </a:graphicData>
            </a:graphic>
          </wp:inline>
        </w:drawing>
      </w:r>
      <w:r w:rsidRPr="00B13A25">
        <w:rPr>
          <w:noProof/>
        </w:rPr>
        <w:drawing>
          <wp:inline distT="0" distB="0" distL="0" distR="0" wp14:anchorId="5747DBDE" wp14:editId="7ACAB07B">
            <wp:extent cx="826935" cy="1725982"/>
            <wp:effectExtent l="0" t="0" r="0" b="7620"/>
            <wp:docPr id="4" name="Graphic 3">
              <a:extLst xmlns:a="http://schemas.openxmlformats.org/drawingml/2006/main">
                <a:ext uri="{FF2B5EF4-FFF2-40B4-BE49-F238E27FC236}">
                  <a16:creationId xmlns:a16="http://schemas.microsoft.com/office/drawing/2014/main" id="{82DF18D7-D6F2-2BD6-75AB-674A2F5F868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raphic 3">
                      <a:extLst>
                        <a:ext uri="{FF2B5EF4-FFF2-40B4-BE49-F238E27FC236}">
                          <a16:creationId xmlns:a16="http://schemas.microsoft.com/office/drawing/2014/main" id="{82DF18D7-D6F2-2BD6-75AB-674A2F5F8685}"/>
                        </a:ext>
                      </a:extLst>
                    </pic:cNvPr>
                    <pic:cNvPicPr>
                      <a:picLocks noChangeAspect="1"/>
                    </pic:cNvPicPr>
                  </pic:nvPicPr>
                  <pic:blipFill rotWithShape="1">
                    <a:blip r:embed="rId13">
                      <a:extLst>
                        <a:ext uri="{96DAC541-7B7A-43D3-8B79-37D633B846F1}">
                          <asvg:svgBlip xmlns:asvg="http://schemas.microsoft.com/office/drawing/2016/SVG/main" r:embed="rId14"/>
                        </a:ext>
                      </a:extLst>
                    </a:blip>
                    <a:srcRect l="91149" t="29119" b="34546"/>
                    <a:stretch/>
                  </pic:blipFill>
                  <pic:spPr bwMode="auto">
                    <a:xfrm>
                      <a:off x="0" y="0"/>
                      <a:ext cx="833282" cy="1739230"/>
                    </a:xfrm>
                    <a:prstGeom prst="rect">
                      <a:avLst/>
                    </a:prstGeom>
                    <a:ln>
                      <a:noFill/>
                    </a:ln>
                    <a:extLst>
                      <a:ext uri="{53640926-AAD7-44D8-BBD7-CCE9431645EC}">
                        <a14:shadowObscured xmlns:a14="http://schemas.microsoft.com/office/drawing/2010/main"/>
                      </a:ext>
                    </a:extLst>
                  </pic:spPr>
                </pic:pic>
              </a:graphicData>
            </a:graphic>
          </wp:inline>
        </w:drawing>
      </w:r>
    </w:p>
    <w:p w14:paraId="4A5A8709" w14:textId="1C2691C7" w:rsidR="00684187" w:rsidRPr="00B13A25" w:rsidRDefault="00684187" w:rsidP="002B33C4">
      <w:pPr>
        <w:spacing w:line="360" w:lineRule="auto"/>
      </w:pPr>
      <w:r w:rsidRPr="00B13A25">
        <w:t xml:space="preserve">It also appears that there is a strong relationship between the number of years of education and output per capita, with 40% of the variance in </w:t>
      </w:r>
      <w:commentRangeStart w:id="2"/>
      <w:commentRangeStart w:id="3"/>
      <w:r w:rsidRPr="00B13A25">
        <w:t xml:space="preserve">output per capita </w:t>
      </w:r>
      <w:commentRangeEnd w:id="2"/>
      <w:r w:rsidR="0069667E">
        <w:rPr>
          <w:rStyle w:val="CommentReference"/>
        </w:rPr>
        <w:commentReference w:id="2"/>
      </w:r>
      <w:commentRangeEnd w:id="3"/>
      <w:r w:rsidR="0069667E">
        <w:rPr>
          <w:rStyle w:val="CommentReference"/>
        </w:rPr>
        <w:commentReference w:id="3"/>
      </w:r>
      <w:r w:rsidRPr="00B13A25">
        <w:t xml:space="preserve">explained by the average number of years </w:t>
      </w:r>
      <w:r w:rsidR="0069667E">
        <w:t>in</w:t>
      </w:r>
      <w:r w:rsidRPr="00B13A25">
        <w:t xml:space="preserve"> education. However, this relationship may be subject to some </w:t>
      </w:r>
      <w:r w:rsidRPr="00E717D4">
        <w:rPr>
          <w:highlight w:val="yellow"/>
        </w:rPr>
        <w:t>collinearity</w:t>
      </w:r>
      <w:r w:rsidRPr="00B13A25">
        <w:t>, where the number of years of education also increases as countries become wealthier, meaning that we must consider a wider range of factors than simply average years of education.</w:t>
      </w:r>
    </w:p>
    <w:p w14:paraId="0DFB3412" w14:textId="77777777" w:rsidR="00684187" w:rsidRPr="00B13A25" w:rsidRDefault="00684187" w:rsidP="002B33C4">
      <w:pPr>
        <w:pStyle w:val="Heading2"/>
        <w:rPr>
          <w:rFonts w:cs="Times New Roman"/>
        </w:rPr>
      </w:pPr>
      <w:r w:rsidRPr="00B13A25">
        <w:rPr>
          <w:rFonts w:cs="Times New Roman"/>
        </w:rPr>
        <w:t>Figure 2: Years of Education against GDP Output per Capita</w:t>
      </w:r>
    </w:p>
    <w:p w14:paraId="79095B2C" w14:textId="77777777" w:rsidR="00684187" w:rsidRPr="00B13A25" w:rsidRDefault="00684187" w:rsidP="002B33C4">
      <w:pPr>
        <w:spacing w:line="360" w:lineRule="auto"/>
      </w:pPr>
      <w:r w:rsidRPr="00B13A25">
        <w:rPr>
          <w:noProof/>
        </w:rPr>
        <w:drawing>
          <wp:inline distT="0" distB="0" distL="0" distR="0" wp14:anchorId="4CE160E9" wp14:editId="7D4F98CB">
            <wp:extent cx="5731510" cy="3656930"/>
            <wp:effectExtent l="0" t="0" r="2540" b="1270"/>
            <wp:docPr id="1099348832" name="Chart 1">
              <a:extLst xmlns:a="http://schemas.openxmlformats.org/drawingml/2006/main">
                <a:ext uri="{FF2B5EF4-FFF2-40B4-BE49-F238E27FC236}">
                  <a16:creationId xmlns:a16="http://schemas.microsoft.com/office/drawing/2014/main" id="{5D679ABA-9ABA-1D97-D654-0BDF342490D0}"/>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14:paraId="76FB8F82" w14:textId="489007C1" w:rsidR="00684187" w:rsidRPr="00B13A25" w:rsidRDefault="00684187" w:rsidP="002B33C4">
      <w:pPr>
        <w:spacing w:line="360" w:lineRule="auto"/>
        <w:rPr>
          <w:rFonts w:eastAsiaTheme="majorEastAsia"/>
          <w:color w:val="FFFFFF" w:themeColor="background1"/>
          <w:sz w:val="26"/>
          <w:szCs w:val="26"/>
          <w14:textFill>
            <w14:noFill/>
          </w14:textFill>
        </w:rPr>
      </w:pPr>
      <w:r w:rsidRPr="00B13A25">
        <w:lastRenderedPageBreak/>
        <w:t>From Table 1 below, we can see that there is a large amount of variation in output per capita between countries and over time, as represented by rgdpo.pop. Furthermore, there seems to be very little skew to the data for the number of years of education, with little difference between the mean and median values.</w:t>
      </w:r>
    </w:p>
    <w:p w14:paraId="2BBD570E" w14:textId="77777777" w:rsidR="00684187" w:rsidRPr="00B13A25" w:rsidRDefault="00684187" w:rsidP="002B33C4">
      <w:pPr>
        <w:pStyle w:val="Heading2"/>
        <w:rPr>
          <w:rFonts w:cs="Times New Roman"/>
        </w:rPr>
      </w:pPr>
      <w:r w:rsidRPr="00B13A25">
        <w:rPr>
          <w:rFonts w:cs="Times New Roman"/>
        </w:rPr>
        <w:t>Table 1: Descriptive Statistics</w:t>
      </w:r>
    </w:p>
    <w:tbl>
      <w:tblPr>
        <w:tblW w:w="10124" w:type="dxa"/>
        <w:tblLook w:val="04A0" w:firstRow="1" w:lastRow="0" w:firstColumn="1" w:lastColumn="0" w:noHBand="0" w:noVBand="1"/>
      </w:tblPr>
      <w:tblGrid>
        <w:gridCol w:w="1586"/>
        <w:gridCol w:w="1243"/>
        <w:gridCol w:w="1188"/>
        <w:gridCol w:w="1188"/>
        <w:gridCol w:w="1188"/>
        <w:gridCol w:w="1188"/>
        <w:gridCol w:w="1283"/>
        <w:gridCol w:w="1361"/>
      </w:tblGrid>
      <w:tr w:rsidR="00884149" w:rsidRPr="00B13A25" w14:paraId="76E441DA" w14:textId="77777777" w:rsidTr="008B5659">
        <w:trPr>
          <w:trHeight w:val="300"/>
        </w:trPr>
        <w:tc>
          <w:tcPr>
            <w:tcW w:w="1586" w:type="dxa"/>
            <w:tcBorders>
              <w:top w:val="nil"/>
              <w:left w:val="nil"/>
              <w:bottom w:val="single" w:sz="4" w:space="0" w:color="auto"/>
              <w:right w:val="nil"/>
            </w:tcBorders>
            <w:shd w:val="clear" w:color="auto" w:fill="auto"/>
            <w:noWrap/>
            <w:vAlign w:val="center"/>
            <w:hideMark/>
          </w:tcPr>
          <w:p w14:paraId="19C16C0F" w14:textId="77777777" w:rsidR="00684187" w:rsidRPr="00B13A25" w:rsidRDefault="00684187" w:rsidP="002B33C4">
            <w:pPr>
              <w:spacing w:line="360" w:lineRule="auto"/>
              <w:rPr>
                <w:b/>
                <w:bCs/>
                <w:color w:val="000000"/>
              </w:rPr>
            </w:pPr>
            <w:r w:rsidRPr="00B13A25">
              <w:rPr>
                <w:b/>
                <w:bCs/>
                <w:color w:val="000000"/>
              </w:rPr>
              <w:t>Variable</w:t>
            </w:r>
          </w:p>
        </w:tc>
        <w:tc>
          <w:tcPr>
            <w:tcW w:w="1192" w:type="dxa"/>
            <w:tcBorders>
              <w:top w:val="nil"/>
              <w:left w:val="nil"/>
              <w:bottom w:val="single" w:sz="4" w:space="0" w:color="auto"/>
              <w:right w:val="nil"/>
            </w:tcBorders>
            <w:shd w:val="clear" w:color="auto" w:fill="auto"/>
            <w:noWrap/>
            <w:vAlign w:val="center"/>
            <w:hideMark/>
          </w:tcPr>
          <w:p w14:paraId="2C5B493A" w14:textId="77777777" w:rsidR="00684187" w:rsidRPr="00B13A25" w:rsidRDefault="00684187" w:rsidP="002B33C4">
            <w:pPr>
              <w:spacing w:line="360" w:lineRule="auto"/>
              <w:jc w:val="right"/>
              <w:rPr>
                <w:b/>
                <w:bCs/>
                <w:color w:val="000000"/>
              </w:rPr>
            </w:pPr>
            <w:r w:rsidRPr="00B13A25">
              <w:rPr>
                <w:b/>
                <w:bCs/>
                <w:color w:val="000000"/>
              </w:rPr>
              <w:t>Minimum</w:t>
            </w:r>
          </w:p>
        </w:tc>
        <w:tc>
          <w:tcPr>
            <w:tcW w:w="1188" w:type="dxa"/>
            <w:tcBorders>
              <w:top w:val="nil"/>
              <w:left w:val="nil"/>
              <w:bottom w:val="single" w:sz="4" w:space="0" w:color="auto"/>
              <w:right w:val="nil"/>
            </w:tcBorders>
            <w:shd w:val="clear" w:color="auto" w:fill="auto"/>
            <w:noWrap/>
            <w:vAlign w:val="center"/>
            <w:hideMark/>
          </w:tcPr>
          <w:p w14:paraId="4514FE60" w14:textId="77777777" w:rsidR="00684187" w:rsidRPr="00B13A25" w:rsidRDefault="00684187" w:rsidP="002B33C4">
            <w:pPr>
              <w:spacing w:line="360" w:lineRule="auto"/>
              <w:jc w:val="right"/>
              <w:rPr>
                <w:b/>
                <w:bCs/>
                <w:color w:val="000000"/>
              </w:rPr>
            </w:pPr>
            <w:r w:rsidRPr="00B13A25">
              <w:rPr>
                <w:b/>
                <w:bCs/>
                <w:color w:val="000000"/>
              </w:rPr>
              <w:t>1st Q.</w:t>
            </w:r>
          </w:p>
        </w:tc>
        <w:tc>
          <w:tcPr>
            <w:tcW w:w="1188" w:type="dxa"/>
            <w:tcBorders>
              <w:top w:val="nil"/>
              <w:left w:val="nil"/>
              <w:bottom w:val="single" w:sz="4" w:space="0" w:color="auto"/>
              <w:right w:val="nil"/>
            </w:tcBorders>
            <w:shd w:val="clear" w:color="auto" w:fill="auto"/>
            <w:noWrap/>
            <w:vAlign w:val="center"/>
            <w:hideMark/>
          </w:tcPr>
          <w:p w14:paraId="516F8D94" w14:textId="77777777" w:rsidR="00684187" w:rsidRPr="00B13A25" w:rsidRDefault="00684187" w:rsidP="002B33C4">
            <w:pPr>
              <w:spacing w:line="360" w:lineRule="auto"/>
              <w:jc w:val="right"/>
              <w:rPr>
                <w:b/>
                <w:bCs/>
                <w:color w:val="000000"/>
              </w:rPr>
            </w:pPr>
            <w:r w:rsidRPr="00B13A25">
              <w:rPr>
                <w:b/>
                <w:bCs/>
                <w:color w:val="000000"/>
              </w:rPr>
              <w:t>Median</w:t>
            </w:r>
          </w:p>
        </w:tc>
        <w:tc>
          <w:tcPr>
            <w:tcW w:w="1188" w:type="dxa"/>
            <w:tcBorders>
              <w:top w:val="nil"/>
              <w:left w:val="nil"/>
              <w:bottom w:val="single" w:sz="4" w:space="0" w:color="auto"/>
              <w:right w:val="nil"/>
            </w:tcBorders>
            <w:shd w:val="clear" w:color="auto" w:fill="auto"/>
            <w:noWrap/>
            <w:vAlign w:val="center"/>
            <w:hideMark/>
          </w:tcPr>
          <w:p w14:paraId="3F974567" w14:textId="77777777" w:rsidR="00684187" w:rsidRPr="00B13A25" w:rsidRDefault="00684187" w:rsidP="002B33C4">
            <w:pPr>
              <w:spacing w:line="360" w:lineRule="auto"/>
              <w:jc w:val="right"/>
              <w:rPr>
                <w:b/>
                <w:bCs/>
                <w:color w:val="000000"/>
              </w:rPr>
            </w:pPr>
            <w:r w:rsidRPr="00B13A25">
              <w:rPr>
                <w:b/>
                <w:bCs/>
                <w:color w:val="000000"/>
              </w:rPr>
              <w:t>Mean</w:t>
            </w:r>
          </w:p>
        </w:tc>
        <w:tc>
          <w:tcPr>
            <w:tcW w:w="1188" w:type="dxa"/>
            <w:tcBorders>
              <w:top w:val="nil"/>
              <w:left w:val="nil"/>
              <w:bottom w:val="single" w:sz="4" w:space="0" w:color="auto"/>
              <w:right w:val="nil"/>
            </w:tcBorders>
            <w:shd w:val="clear" w:color="auto" w:fill="auto"/>
            <w:noWrap/>
            <w:vAlign w:val="center"/>
            <w:hideMark/>
          </w:tcPr>
          <w:p w14:paraId="294E43B5" w14:textId="77777777" w:rsidR="00684187" w:rsidRPr="00B13A25" w:rsidRDefault="00684187" w:rsidP="002B33C4">
            <w:pPr>
              <w:spacing w:line="360" w:lineRule="auto"/>
              <w:jc w:val="right"/>
              <w:rPr>
                <w:b/>
                <w:bCs/>
                <w:color w:val="000000"/>
              </w:rPr>
            </w:pPr>
            <w:r w:rsidRPr="00B13A25">
              <w:rPr>
                <w:b/>
                <w:bCs/>
                <w:color w:val="000000"/>
              </w:rPr>
              <w:t>3rd Q.</w:t>
            </w:r>
          </w:p>
        </w:tc>
        <w:tc>
          <w:tcPr>
            <w:tcW w:w="1233" w:type="dxa"/>
            <w:tcBorders>
              <w:top w:val="nil"/>
              <w:left w:val="nil"/>
              <w:bottom w:val="single" w:sz="4" w:space="0" w:color="auto"/>
              <w:right w:val="nil"/>
            </w:tcBorders>
            <w:shd w:val="clear" w:color="auto" w:fill="auto"/>
            <w:noWrap/>
            <w:vAlign w:val="center"/>
            <w:hideMark/>
          </w:tcPr>
          <w:p w14:paraId="3A882E93" w14:textId="77777777" w:rsidR="00684187" w:rsidRPr="00B13A25" w:rsidRDefault="00684187" w:rsidP="002B33C4">
            <w:pPr>
              <w:spacing w:line="360" w:lineRule="auto"/>
              <w:jc w:val="right"/>
              <w:rPr>
                <w:b/>
                <w:bCs/>
                <w:color w:val="000000"/>
              </w:rPr>
            </w:pPr>
            <w:r w:rsidRPr="00B13A25">
              <w:rPr>
                <w:b/>
                <w:bCs/>
                <w:color w:val="000000"/>
              </w:rPr>
              <w:t>Maximum</w:t>
            </w:r>
          </w:p>
        </w:tc>
        <w:tc>
          <w:tcPr>
            <w:tcW w:w="1361" w:type="dxa"/>
            <w:tcBorders>
              <w:top w:val="nil"/>
              <w:left w:val="nil"/>
              <w:bottom w:val="single" w:sz="4" w:space="0" w:color="auto"/>
              <w:right w:val="nil"/>
            </w:tcBorders>
            <w:shd w:val="clear" w:color="auto" w:fill="auto"/>
            <w:noWrap/>
            <w:vAlign w:val="center"/>
            <w:hideMark/>
          </w:tcPr>
          <w:p w14:paraId="156FA39C" w14:textId="77777777" w:rsidR="00684187" w:rsidRPr="00B13A25" w:rsidRDefault="00684187" w:rsidP="002B33C4">
            <w:pPr>
              <w:spacing w:line="360" w:lineRule="auto"/>
              <w:jc w:val="right"/>
              <w:rPr>
                <w:b/>
                <w:bCs/>
                <w:color w:val="000000"/>
              </w:rPr>
            </w:pPr>
            <w:r w:rsidRPr="00B13A25">
              <w:rPr>
                <w:b/>
                <w:bCs/>
                <w:color w:val="000000"/>
              </w:rPr>
              <w:t>Standard Deviation</w:t>
            </w:r>
          </w:p>
        </w:tc>
      </w:tr>
      <w:tr w:rsidR="00884149" w:rsidRPr="00B13A25" w14:paraId="0CFFE534" w14:textId="77777777" w:rsidTr="008B5659">
        <w:trPr>
          <w:trHeight w:val="300"/>
        </w:trPr>
        <w:tc>
          <w:tcPr>
            <w:tcW w:w="1586" w:type="dxa"/>
            <w:tcBorders>
              <w:top w:val="nil"/>
              <w:left w:val="nil"/>
              <w:bottom w:val="nil"/>
              <w:right w:val="nil"/>
            </w:tcBorders>
            <w:shd w:val="clear" w:color="auto" w:fill="auto"/>
            <w:noWrap/>
            <w:vAlign w:val="center"/>
            <w:hideMark/>
          </w:tcPr>
          <w:p w14:paraId="2DBF5284" w14:textId="77777777" w:rsidR="00684187" w:rsidRPr="00B13A25" w:rsidRDefault="00684187" w:rsidP="002B33C4">
            <w:pPr>
              <w:spacing w:line="360" w:lineRule="auto"/>
              <w:rPr>
                <w:color w:val="000000"/>
              </w:rPr>
            </w:pPr>
            <w:r w:rsidRPr="00B13A25">
              <w:rPr>
                <w:color w:val="000000"/>
              </w:rPr>
              <w:t>rgdpo.pop</w:t>
            </w:r>
          </w:p>
        </w:tc>
        <w:tc>
          <w:tcPr>
            <w:tcW w:w="1192" w:type="dxa"/>
            <w:tcBorders>
              <w:top w:val="nil"/>
              <w:left w:val="nil"/>
              <w:bottom w:val="nil"/>
              <w:right w:val="nil"/>
            </w:tcBorders>
            <w:shd w:val="clear" w:color="auto" w:fill="auto"/>
            <w:noWrap/>
            <w:vAlign w:val="center"/>
            <w:hideMark/>
          </w:tcPr>
          <w:p w14:paraId="1FCD516B" w14:textId="08DF1923" w:rsidR="00684187" w:rsidRPr="00B13A25" w:rsidRDefault="00684187" w:rsidP="002B33C4">
            <w:pPr>
              <w:spacing w:line="360" w:lineRule="auto"/>
              <w:jc w:val="right"/>
              <w:rPr>
                <w:color w:val="000000"/>
              </w:rPr>
            </w:pPr>
            <w:r w:rsidRPr="00B13A25">
              <w:rPr>
                <w:color w:val="000000"/>
              </w:rPr>
              <w:t>3,002</w:t>
            </w:r>
          </w:p>
        </w:tc>
        <w:tc>
          <w:tcPr>
            <w:tcW w:w="1188" w:type="dxa"/>
            <w:tcBorders>
              <w:top w:val="nil"/>
              <w:left w:val="nil"/>
              <w:bottom w:val="nil"/>
              <w:right w:val="nil"/>
            </w:tcBorders>
            <w:shd w:val="clear" w:color="auto" w:fill="auto"/>
            <w:noWrap/>
            <w:vAlign w:val="center"/>
            <w:hideMark/>
          </w:tcPr>
          <w:p w14:paraId="22B949F1" w14:textId="7F157210" w:rsidR="00684187" w:rsidRPr="00B13A25" w:rsidRDefault="00684187" w:rsidP="002B33C4">
            <w:pPr>
              <w:spacing w:line="360" w:lineRule="auto"/>
              <w:jc w:val="right"/>
              <w:rPr>
                <w:color w:val="000000"/>
              </w:rPr>
            </w:pPr>
            <w:r w:rsidRPr="00B13A25">
              <w:rPr>
                <w:color w:val="000000"/>
              </w:rPr>
              <w:t>15,534</w:t>
            </w:r>
          </w:p>
        </w:tc>
        <w:tc>
          <w:tcPr>
            <w:tcW w:w="1188" w:type="dxa"/>
            <w:tcBorders>
              <w:top w:val="nil"/>
              <w:left w:val="nil"/>
              <w:bottom w:val="nil"/>
              <w:right w:val="nil"/>
            </w:tcBorders>
            <w:shd w:val="clear" w:color="auto" w:fill="auto"/>
            <w:noWrap/>
            <w:vAlign w:val="center"/>
            <w:hideMark/>
          </w:tcPr>
          <w:p w14:paraId="395674BF" w14:textId="2B69BD46" w:rsidR="00684187" w:rsidRPr="00B13A25" w:rsidRDefault="00684187" w:rsidP="002B33C4">
            <w:pPr>
              <w:spacing w:line="360" w:lineRule="auto"/>
              <w:jc w:val="right"/>
              <w:rPr>
                <w:color w:val="000000"/>
              </w:rPr>
            </w:pPr>
            <w:r w:rsidRPr="00B13A25">
              <w:rPr>
                <w:color w:val="000000"/>
              </w:rPr>
              <w:t>23,531</w:t>
            </w:r>
          </w:p>
        </w:tc>
        <w:tc>
          <w:tcPr>
            <w:tcW w:w="1188" w:type="dxa"/>
            <w:tcBorders>
              <w:top w:val="nil"/>
              <w:left w:val="nil"/>
              <w:bottom w:val="nil"/>
              <w:right w:val="nil"/>
            </w:tcBorders>
            <w:shd w:val="clear" w:color="auto" w:fill="auto"/>
            <w:noWrap/>
            <w:vAlign w:val="center"/>
            <w:hideMark/>
          </w:tcPr>
          <w:p w14:paraId="44C9A731" w14:textId="491A7D67" w:rsidR="00684187" w:rsidRPr="00B13A25" w:rsidRDefault="00684187" w:rsidP="002B33C4">
            <w:pPr>
              <w:spacing w:line="360" w:lineRule="auto"/>
              <w:jc w:val="right"/>
              <w:rPr>
                <w:color w:val="000000"/>
              </w:rPr>
            </w:pPr>
            <w:r w:rsidRPr="00B13A25">
              <w:rPr>
                <w:color w:val="000000"/>
              </w:rPr>
              <w:t>25,538</w:t>
            </w:r>
          </w:p>
        </w:tc>
        <w:tc>
          <w:tcPr>
            <w:tcW w:w="1188" w:type="dxa"/>
            <w:tcBorders>
              <w:top w:val="nil"/>
              <w:left w:val="nil"/>
              <w:bottom w:val="nil"/>
              <w:right w:val="nil"/>
            </w:tcBorders>
            <w:shd w:val="clear" w:color="auto" w:fill="auto"/>
            <w:noWrap/>
            <w:vAlign w:val="center"/>
            <w:hideMark/>
          </w:tcPr>
          <w:p w14:paraId="071FDA8C" w14:textId="35239E72" w:rsidR="00684187" w:rsidRPr="00B13A25" w:rsidRDefault="00684187" w:rsidP="002B33C4">
            <w:pPr>
              <w:spacing w:line="360" w:lineRule="auto"/>
              <w:jc w:val="right"/>
              <w:rPr>
                <w:color w:val="000000"/>
              </w:rPr>
            </w:pPr>
            <w:r w:rsidRPr="00B13A25">
              <w:rPr>
                <w:color w:val="000000"/>
              </w:rPr>
              <w:t>33,447</w:t>
            </w:r>
          </w:p>
        </w:tc>
        <w:tc>
          <w:tcPr>
            <w:tcW w:w="1233" w:type="dxa"/>
            <w:tcBorders>
              <w:top w:val="nil"/>
              <w:left w:val="nil"/>
              <w:bottom w:val="nil"/>
              <w:right w:val="nil"/>
            </w:tcBorders>
            <w:shd w:val="clear" w:color="auto" w:fill="auto"/>
            <w:noWrap/>
            <w:vAlign w:val="center"/>
            <w:hideMark/>
          </w:tcPr>
          <w:p w14:paraId="6C0FD4DE" w14:textId="5CF6459A" w:rsidR="00684187" w:rsidRPr="00B13A25" w:rsidRDefault="00684187" w:rsidP="002B33C4">
            <w:pPr>
              <w:spacing w:line="360" w:lineRule="auto"/>
              <w:jc w:val="right"/>
              <w:rPr>
                <w:color w:val="000000"/>
              </w:rPr>
            </w:pPr>
            <w:r w:rsidRPr="00B13A25">
              <w:rPr>
                <w:color w:val="000000"/>
              </w:rPr>
              <w:t>82,382</w:t>
            </w:r>
          </w:p>
        </w:tc>
        <w:tc>
          <w:tcPr>
            <w:tcW w:w="1361" w:type="dxa"/>
            <w:tcBorders>
              <w:top w:val="nil"/>
              <w:left w:val="nil"/>
              <w:bottom w:val="nil"/>
              <w:right w:val="nil"/>
            </w:tcBorders>
            <w:shd w:val="clear" w:color="auto" w:fill="auto"/>
            <w:noWrap/>
            <w:vAlign w:val="center"/>
            <w:hideMark/>
          </w:tcPr>
          <w:p w14:paraId="366648B4" w14:textId="590C7DCF" w:rsidR="00684187" w:rsidRPr="00B13A25" w:rsidRDefault="00684187" w:rsidP="002B33C4">
            <w:pPr>
              <w:spacing w:line="360" w:lineRule="auto"/>
              <w:jc w:val="right"/>
              <w:rPr>
                <w:color w:val="000000"/>
              </w:rPr>
            </w:pPr>
            <w:r w:rsidRPr="00B13A25">
              <w:rPr>
                <w:color w:val="000000"/>
              </w:rPr>
              <w:t>14,03</w:t>
            </w:r>
            <w:r w:rsidR="0050362B">
              <w:rPr>
                <w:color w:val="000000"/>
              </w:rPr>
              <w:t>2</w:t>
            </w:r>
          </w:p>
        </w:tc>
      </w:tr>
      <w:tr w:rsidR="00884149" w:rsidRPr="00B13A25" w14:paraId="2FB9044A" w14:textId="77777777" w:rsidTr="008B5659">
        <w:trPr>
          <w:trHeight w:val="300"/>
        </w:trPr>
        <w:tc>
          <w:tcPr>
            <w:tcW w:w="1586" w:type="dxa"/>
            <w:tcBorders>
              <w:top w:val="nil"/>
              <w:left w:val="nil"/>
              <w:bottom w:val="nil"/>
              <w:right w:val="nil"/>
            </w:tcBorders>
            <w:shd w:val="clear" w:color="auto" w:fill="auto"/>
            <w:noWrap/>
            <w:vAlign w:val="center"/>
            <w:hideMark/>
          </w:tcPr>
          <w:p w14:paraId="5008BE20" w14:textId="77777777" w:rsidR="00684187" w:rsidRPr="00B13A25" w:rsidRDefault="00684187" w:rsidP="002B33C4">
            <w:pPr>
              <w:spacing w:line="360" w:lineRule="auto"/>
              <w:rPr>
                <w:color w:val="000000"/>
              </w:rPr>
            </w:pPr>
            <w:r w:rsidRPr="00B13A25">
              <w:rPr>
                <w:color w:val="000000"/>
              </w:rPr>
              <w:t>log.rgdpo.pop</w:t>
            </w:r>
          </w:p>
        </w:tc>
        <w:tc>
          <w:tcPr>
            <w:tcW w:w="1192" w:type="dxa"/>
            <w:tcBorders>
              <w:top w:val="nil"/>
              <w:left w:val="nil"/>
              <w:bottom w:val="nil"/>
              <w:right w:val="nil"/>
            </w:tcBorders>
            <w:shd w:val="clear" w:color="auto" w:fill="auto"/>
            <w:noWrap/>
            <w:vAlign w:val="center"/>
            <w:hideMark/>
          </w:tcPr>
          <w:p w14:paraId="7A72C157" w14:textId="77777777" w:rsidR="00684187" w:rsidRPr="00B13A25" w:rsidRDefault="00684187" w:rsidP="002B33C4">
            <w:pPr>
              <w:spacing w:line="360" w:lineRule="auto"/>
              <w:jc w:val="right"/>
              <w:rPr>
                <w:color w:val="000000"/>
              </w:rPr>
            </w:pPr>
            <w:r w:rsidRPr="00B13A25">
              <w:rPr>
                <w:color w:val="000000"/>
              </w:rPr>
              <w:t>8.01</w:t>
            </w:r>
          </w:p>
        </w:tc>
        <w:tc>
          <w:tcPr>
            <w:tcW w:w="1188" w:type="dxa"/>
            <w:tcBorders>
              <w:top w:val="nil"/>
              <w:left w:val="nil"/>
              <w:bottom w:val="nil"/>
              <w:right w:val="nil"/>
            </w:tcBorders>
            <w:shd w:val="clear" w:color="auto" w:fill="auto"/>
            <w:noWrap/>
            <w:vAlign w:val="center"/>
            <w:hideMark/>
          </w:tcPr>
          <w:p w14:paraId="1F702024" w14:textId="77777777" w:rsidR="00684187" w:rsidRPr="00B13A25" w:rsidRDefault="00684187" w:rsidP="002B33C4">
            <w:pPr>
              <w:spacing w:line="360" w:lineRule="auto"/>
              <w:jc w:val="right"/>
              <w:rPr>
                <w:color w:val="000000"/>
              </w:rPr>
            </w:pPr>
            <w:r w:rsidRPr="00B13A25">
              <w:rPr>
                <w:color w:val="000000"/>
              </w:rPr>
              <w:t>9.65</w:t>
            </w:r>
          </w:p>
        </w:tc>
        <w:tc>
          <w:tcPr>
            <w:tcW w:w="1188" w:type="dxa"/>
            <w:tcBorders>
              <w:top w:val="nil"/>
              <w:left w:val="nil"/>
              <w:bottom w:val="nil"/>
              <w:right w:val="nil"/>
            </w:tcBorders>
            <w:shd w:val="clear" w:color="auto" w:fill="auto"/>
            <w:noWrap/>
            <w:vAlign w:val="center"/>
            <w:hideMark/>
          </w:tcPr>
          <w:p w14:paraId="2B8DD088" w14:textId="77777777" w:rsidR="00684187" w:rsidRPr="00B13A25" w:rsidRDefault="00684187" w:rsidP="002B33C4">
            <w:pPr>
              <w:spacing w:line="360" w:lineRule="auto"/>
              <w:jc w:val="right"/>
              <w:rPr>
                <w:color w:val="000000"/>
              </w:rPr>
            </w:pPr>
            <w:r w:rsidRPr="00B13A25">
              <w:rPr>
                <w:color w:val="000000"/>
              </w:rPr>
              <w:t>10.07</w:t>
            </w:r>
          </w:p>
        </w:tc>
        <w:tc>
          <w:tcPr>
            <w:tcW w:w="1188" w:type="dxa"/>
            <w:tcBorders>
              <w:top w:val="nil"/>
              <w:left w:val="nil"/>
              <w:bottom w:val="nil"/>
              <w:right w:val="nil"/>
            </w:tcBorders>
            <w:shd w:val="clear" w:color="auto" w:fill="auto"/>
            <w:noWrap/>
            <w:vAlign w:val="center"/>
            <w:hideMark/>
          </w:tcPr>
          <w:p w14:paraId="7A85C7DF" w14:textId="77777777" w:rsidR="00684187" w:rsidRPr="00B13A25" w:rsidRDefault="00684187" w:rsidP="002B33C4">
            <w:pPr>
              <w:spacing w:line="360" w:lineRule="auto"/>
              <w:jc w:val="right"/>
              <w:rPr>
                <w:color w:val="000000"/>
              </w:rPr>
            </w:pPr>
            <w:r w:rsidRPr="00B13A25">
              <w:rPr>
                <w:color w:val="000000"/>
              </w:rPr>
              <w:t>9.99</w:t>
            </w:r>
          </w:p>
        </w:tc>
        <w:tc>
          <w:tcPr>
            <w:tcW w:w="1188" w:type="dxa"/>
            <w:tcBorders>
              <w:top w:val="nil"/>
              <w:left w:val="nil"/>
              <w:bottom w:val="nil"/>
              <w:right w:val="nil"/>
            </w:tcBorders>
            <w:shd w:val="clear" w:color="auto" w:fill="auto"/>
            <w:noWrap/>
            <w:vAlign w:val="center"/>
            <w:hideMark/>
          </w:tcPr>
          <w:p w14:paraId="7951A760" w14:textId="77777777" w:rsidR="00684187" w:rsidRPr="00B13A25" w:rsidRDefault="00684187" w:rsidP="002B33C4">
            <w:pPr>
              <w:spacing w:line="360" w:lineRule="auto"/>
              <w:jc w:val="right"/>
              <w:rPr>
                <w:color w:val="000000"/>
              </w:rPr>
            </w:pPr>
            <w:r w:rsidRPr="00B13A25">
              <w:rPr>
                <w:color w:val="000000"/>
              </w:rPr>
              <w:t>10.42</w:t>
            </w:r>
          </w:p>
        </w:tc>
        <w:tc>
          <w:tcPr>
            <w:tcW w:w="1233" w:type="dxa"/>
            <w:tcBorders>
              <w:top w:val="nil"/>
              <w:left w:val="nil"/>
              <w:bottom w:val="nil"/>
              <w:right w:val="nil"/>
            </w:tcBorders>
            <w:shd w:val="clear" w:color="auto" w:fill="auto"/>
            <w:noWrap/>
            <w:vAlign w:val="center"/>
            <w:hideMark/>
          </w:tcPr>
          <w:p w14:paraId="4C8F0755" w14:textId="77777777" w:rsidR="00684187" w:rsidRPr="00B13A25" w:rsidRDefault="00684187" w:rsidP="002B33C4">
            <w:pPr>
              <w:spacing w:line="360" w:lineRule="auto"/>
              <w:jc w:val="right"/>
              <w:rPr>
                <w:color w:val="000000"/>
              </w:rPr>
            </w:pPr>
            <w:r w:rsidRPr="00B13A25">
              <w:rPr>
                <w:color w:val="000000"/>
              </w:rPr>
              <w:t>11.32</w:t>
            </w:r>
          </w:p>
        </w:tc>
        <w:tc>
          <w:tcPr>
            <w:tcW w:w="1361" w:type="dxa"/>
            <w:tcBorders>
              <w:top w:val="nil"/>
              <w:left w:val="nil"/>
              <w:bottom w:val="nil"/>
              <w:right w:val="nil"/>
            </w:tcBorders>
            <w:shd w:val="clear" w:color="auto" w:fill="auto"/>
            <w:noWrap/>
            <w:vAlign w:val="center"/>
            <w:hideMark/>
          </w:tcPr>
          <w:p w14:paraId="261932A7" w14:textId="77777777" w:rsidR="00684187" w:rsidRPr="00B13A25" w:rsidRDefault="00684187" w:rsidP="002B33C4">
            <w:pPr>
              <w:spacing w:line="360" w:lineRule="auto"/>
              <w:jc w:val="right"/>
              <w:rPr>
                <w:color w:val="000000"/>
              </w:rPr>
            </w:pPr>
            <w:r w:rsidRPr="00B13A25">
              <w:rPr>
                <w:color w:val="000000"/>
              </w:rPr>
              <w:t>0.60</w:t>
            </w:r>
          </w:p>
        </w:tc>
      </w:tr>
      <w:tr w:rsidR="00884149" w:rsidRPr="00B13A25" w14:paraId="00885AB3" w14:textId="77777777" w:rsidTr="008B5659">
        <w:trPr>
          <w:trHeight w:val="300"/>
        </w:trPr>
        <w:tc>
          <w:tcPr>
            <w:tcW w:w="1586" w:type="dxa"/>
            <w:tcBorders>
              <w:top w:val="nil"/>
              <w:left w:val="nil"/>
              <w:bottom w:val="nil"/>
              <w:right w:val="nil"/>
            </w:tcBorders>
            <w:shd w:val="clear" w:color="auto" w:fill="auto"/>
            <w:noWrap/>
            <w:vAlign w:val="center"/>
            <w:hideMark/>
          </w:tcPr>
          <w:p w14:paraId="67E659A1" w14:textId="77777777" w:rsidR="00684187" w:rsidRPr="00B13A25" w:rsidRDefault="00684187" w:rsidP="002B33C4">
            <w:pPr>
              <w:spacing w:line="360" w:lineRule="auto"/>
              <w:rPr>
                <w:color w:val="000000"/>
              </w:rPr>
            </w:pPr>
            <w:r w:rsidRPr="00B13A25">
              <w:rPr>
                <w:color w:val="000000"/>
              </w:rPr>
              <w:t>year</w:t>
            </w:r>
            <w:r w:rsidRPr="00B13A25">
              <w:rPr>
                <w:color w:val="000000"/>
                <w:vertAlign w:val="subscript"/>
              </w:rPr>
              <w:t>orig</w:t>
            </w:r>
          </w:p>
        </w:tc>
        <w:tc>
          <w:tcPr>
            <w:tcW w:w="1192" w:type="dxa"/>
            <w:tcBorders>
              <w:top w:val="nil"/>
              <w:left w:val="nil"/>
              <w:bottom w:val="nil"/>
              <w:right w:val="nil"/>
            </w:tcBorders>
            <w:shd w:val="clear" w:color="auto" w:fill="auto"/>
            <w:noWrap/>
            <w:vAlign w:val="center"/>
            <w:hideMark/>
          </w:tcPr>
          <w:p w14:paraId="0B097206" w14:textId="77777777" w:rsidR="00684187" w:rsidRPr="00B13A25" w:rsidRDefault="00684187" w:rsidP="002B33C4">
            <w:pPr>
              <w:spacing w:line="360" w:lineRule="auto"/>
              <w:jc w:val="right"/>
              <w:rPr>
                <w:color w:val="000000"/>
              </w:rPr>
            </w:pPr>
            <w:r w:rsidRPr="00B13A25">
              <w:rPr>
                <w:color w:val="000000"/>
              </w:rPr>
              <w:t>0.00</w:t>
            </w:r>
          </w:p>
        </w:tc>
        <w:tc>
          <w:tcPr>
            <w:tcW w:w="1188" w:type="dxa"/>
            <w:tcBorders>
              <w:top w:val="nil"/>
              <w:left w:val="nil"/>
              <w:bottom w:val="nil"/>
              <w:right w:val="nil"/>
            </w:tcBorders>
            <w:shd w:val="clear" w:color="auto" w:fill="auto"/>
            <w:noWrap/>
            <w:vAlign w:val="center"/>
            <w:hideMark/>
          </w:tcPr>
          <w:p w14:paraId="0467FF50" w14:textId="77777777" w:rsidR="00684187" w:rsidRPr="00B13A25" w:rsidRDefault="00684187" w:rsidP="002B33C4">
            <w:pPr>
              <w:spacing w:line="360" w:lineRule="auto"/>
              <w:jc w:val="right"/>
              <w:rPr>
                <w:color w:val="000000"/>
              </w:rPr>
            </w:pPr>
            <w:r w:rsidRPr="00B13A25">
              <w:rPr>
                <w:color w:val="000000"/>
              </w:rPr>
              <w:t>10.00</w:t>
            </w:r>
          </w:p>
        </w:tc>
        <w:tc>
          <w:tcPr>
            <w:tcW w:w="1188" w:type="dxa"/>
            <w:tcBorders>
              <w:top w:val="nil"/>
              <w:left w:val="nil"/>
              <w:bottom w:val="nil"/>
              <w:right w:val="nil"/>
            </w:tcBorders>
            <w:shd w:val="clear" w:color="auto" w:fill="auto"/>
            <w:noWrap/>
            <w:vAlign w:val="center"/>
            <w:hideMark/>
          </w:tcPr>
          <w:p w14:paraId="24BA5D35" w14:textId="77777777" w:rsidR="00684187" w:rsidRPr="00B13A25" w:rsidRDefault="00684187" w:rsidP="002B33C4">
            <w:pPr>
              <w:spacing w:line="360" w:lineRule="auto"/>
              <w:jc w:val="right"/>
              <w:rPr>
                <w:color w:val="000000"/>
              </w:rPr>
            </w:pPr>
            <w:r w:rsidRPr="00B13A25">
              <w:rPr>
                <w:color w:val="000000"/>
              </w:rPr>
              <w:t>22.50</w:t>
            </w:r>
          </w:p>
        </w:tc>
        <w:tc>
          <w:tcPr>
            <w:tcW w:w="1188" w:type="dxa"/>
            <w:tcBorders>
              <w:top w:val="nil"/>
              <w:left w:val="nil"/>
              <w:bottom w:val="nil"/>
              <w:right w:val="nil"/>
            </w:tcBorders>
            <w:shd w:val="clear" w:color="auto" w:fill="auto"/>
            <w:noWrap/>
            <w:vAlign w:val="center"/>
            <w:hideMark/>
          </w:tcPr>
          <w:p w14:paraId="1C967620" w14:textId="77777777" w:rsidR="00684187" w:rsidRPr="00B13A25" w:rsidRDefault="00684187" w:rsidP="002B33C4">
            <w:pPr>
              <w:spacing w:line="360" w:lineRule="auto"/>
              <w:jc w:val="right"/>
              <w:rPr>
                <w:color w:val="000000"/>
              </w:rPr>
            </w:pPr>
            <w:r w:rsidRPr="00B13A25">
              <w:rPr>
                <w:color w:val="000000"/>
              </w:rPr>
              <w:t>22.50</w:t>
            </w:r>
          </w:p>
        </w:tc>
        <w:tc>
          <w:tcPr>
            <w:tcW w:w="1188" w:type="dxa"/>
            <w:tcBorders>
              <w:top w:val="nil"/>
              <w:left w:val="nil"/>
              <w:bottom w:val="nil"/>
              <w:right w:val="nil"/>
            </w:tcBorders>
            <w:shd w:val="clear" w:color="auto" w:fill="auto"/>
            <w:noWrap/>
            <w:vAlign w:val="center"/>
            <w:hideMark/>
          </w:tcPr>
          <w:p w14:paraId="533E621F" w14:textId="77777777" w:rsidR="00684187" w:rsidRPr="00B13A25" w:rsidRDefault="00684187" w:rsidP="002B33C4">
            <w:pPr>
              <w:spacing w:line="360" w:lineRule="auto"/>
              <w:jc w:val="right"/>
              <w:rPr>
                <w:color w:val="000000"/>
              </w:rPr>
            </w:pPr>
            <w:r w:rsidRPr="00B13A25">
              <w:rPr>
                <w:color w:val="000000"/>
              </w:rPr>
              <w:t>35.00</w:t>
            </w:r>
          </w:p>
        </w:tc>
        <w:tc>
          <w:tcPr>
            <w:tcW w:w="1233" w:type="dxa"/>
            <w:tcBorders>
              <w:top w:val="nil"/>
              <w:left w:val="nil"/>
              <w:bottom w:val="nil"/>
              <w:right w:val="nil"/>
            </w:tcBorders>
            <w:shd w:val="clear" w:color="auto" w:fill="auto"/>
            <w:noWrap/>
            <w:vAlign w:val="center"/>
            <w:hideMark/>
          </w:tcPr>
          <w:p w14:paraId="1B471774" w14:textId="77777777" w:rsidR="00684187" w:rsidRPr="00B13A25" w:rsidRDefault="00684187" w:rsidP="002B33C4">
            <w:pPr>
              <w:spacing w:line="360" w:lineRule="auto"/>
              <w:jc w:val="right"/>
              <w:rPr>
                <w:color w:val="000000"/>
              </w:rPr>
            </w:pPr>
            <w:r w:rsidRPr="00B13A25">
              <w:rPr>
                <w:color w:val="000000"/>
              </w:rPr>
              <w:t>45.00</w:t>
            </w:r>
          </w:p>
        </w:tc>
        <w:tc>
          <w:tcPr>
            <w:tcW w:w="1361" w:type="dxa"/>
            <w:tcBorders>
              <w:top w:val="nil"/>
              <w:left w:val="nil"/>
              <w:bottom w:val="nil"/>
              <w:right w:val="nil"/>
            </w:tcBorders>
            <w:shd w:val="clear" w:color="auto" w:fill="auto"/>
            <w:noWrap/>
            <w:vAlign w:val="center"/>
            <w:hideMark/>
          </w:tcPr>
          <w:p w14:paraId="115B8EF7" w14:textId="77777777" w:rsidR="00684187" w:rsidRPr="00B13A25" w:rsidRDefault="00684187" w:rsidP="002B33C4">
            <w:pPr>
              <w:spacing w:line="360" w:lineRule="auto"/>
              <w:jc w:val="right"/>
              <w:rPr>
                <w:color w:val="000000"/>
              </w:rPr>
            </w:pPr>
            <w:r w:rsidRPr="00B13A25">
              <w:rPr>
                <w:color w:val="000000"/>
              </w:rPr>
              <w:t>14.40</w:t>
            </w:r>
          </w:p>
        </w:tc>
      </w:tr>
      <w:tr w:rsidR="00884149" w:rsidRPr="00B13A25" w14:paraId="6B57E885" w14:textId="77777777" w:rsidTr="008B5659">
        <w:trPr>
          <w:trHeight w:val="300"/>
        </w:trPr>
        <w:tc>
          <w:tcPr>
            <w:tcW w:w="1586" w:type="dxa"/>
            <w:tcBorders>
              <w:top w:val="nil"/>
              <w:left w:val="nil"/>
              <w:bottom w:val="nil"/>
              <w:right w:val="nil"/>
            </w:tcBorders>
            <w:shd w:val="clear" w:color="auto" w:fill="auto"/>
            <w:noWrap/>
            <w:vAlign w:val="center"/>
            <w:hideMark/>
          </w:tcPr>
          <w:p w14:paraId="0A0C24A7" w14:textId="77777777" w:rsidR="00684187" w:rsidRPr="00B13A25" w:rsidRDefault="00684187" w:rsidP="002B33C4">
            <w:pPr>
              <w:spacing w:line="360" w:lineRule="auto"/>
              <w:rPr>
                <w:color w:val="000000"/>
              </w:rPr>
            </w:pPr>
            <w:r w:rsidRPr="00B13A25">
              <w:rPr>
                <w:color w:val="000000"/>
              </w:rPr>
              <w:t>yrs</w:t>
            </w:r>
            <w:r w:rsidRPr="00B13A25">
              <w:rPr>
                <w:color w:val="000000"/>
                <w:vertAlign w:val="subscript"/>
              </w:rPr>
              <w:t>sch</w:t>
            </w:r>
          </w:p>
        </w:tc>
        <w:tc>
          <w:tcPr>
            <w:tcW w:w="1192" w:type="dxa"/>
            <w:tcBorders>
              <w:top w:val="nil"/>
              <w:left w:val="nil"/>
              <w:bottom w:val="nil"/>
              <w:right w:val="nil"/>
            </w:tcBorders>
            <w:shd w:val="clear" w:color="auto" w:fill="auto"/>
            <w:noWrap/>
            <w:vAlign w:val="center"/>
            <w:hideMark/>
          </w:tcPr>
          <w:p w14:paraId="0EE6C0D0" w14:textId="77777777" w:rsidR="00684187" w:rsidRPr="00B13A25" w:rsidRDefault="00684187" w:rsidP="002B33C4">
            <w:pPr>
              <w:spacing w:line="360" w:lineRule="auto"/>
              <w:jc w:val="right"/>
              <w:rPr>
                <w:color w:val="000000"/>
              </w:rPr>
            </w:pPr>
            <w:r w:rsidRPr="00B13A25">
              <w:rPr>
                <w:color w:val="000000"/>
              </w:rPr>
              <w:t>3.17</w:t>
            </w:r>
          </w:p>
        </w:tc>
        <w:tc>
          <w:tcPr>
            <w:tcW w:w="1188" w:type="dxa"/>
            <w:tcBorders>
              <w:top w:val="nil"/>
              <w:left w:val="nil"/>
              <w:bottom w:val="nil"/>
              <w:right w:val="nil"/>
            </w:tcBorders>
            <w:shd w:val="clear" w:color="auto" w:fill="auto"/>
            <w:noWrap/>
            <w:vAlign w:val="center"/>
            <w:hideMark/>
          </w:tcPr>
          <w:p w14:paraId="457F95A2" w14:textId="77777777" w:rsidR="00684187" w:rsidRPr="00B13A25" w:rsidRDefault="00684187" w:rsidP="002B33C4">
            <w:pPr>
              <w:spacing w:line="360" w:lineRule="auto"/>
              <w:jc w:val="right"/>
              <w:rPr>
                <w:color w:val="000000"/>
              </w:rPr>
            </w:pPr>
            <w:r w:rsidRPr="00B13A25">
              <w:rPr>
                <w:color w:val="000000"/>
              </w:rPr>
              <w:t>8.16</w:t>
            </w:r>
          </w:p>
        </w:tc>
        <w:tc>
          <w:tcPr>
            <w:tcW w:w="1188" w:type="dxa"/>
            <w:tcBorders>
              <w:top w:val="nil"/>
              <w:left w:val="nil"/>
              <w:bottom w:val="nil"/>
              <w:right w:val="nil"/>
            </w:tcBorders>
            <w:shd w:val="clear" w:color="auto" w:fill="auto"/>
            <w:noWrap/>
            <w:vAlign w:val="center"/>
            <w:hideMark/>
          </w:tcPr>
          <w:p w14:paraId="4A9C5489" w14:textId="77777777" w:rsidR="00684187" w:rsidRPr="00B13A25" w:rsidRDefault="00684187" w:rsidP="002B33C4">
            <w:pPr>
              <w:spacing w:line="360" w:lineRule="auto"/>
              <w:jc w:val="right"/>
              <w:rPr>
                <w:color w:val="000000"/>
              </w:rPr>
            </w:pPr>
            <w:r w:rsidRPr="00B13A25">
              <w:rPr>
                <w:color w:val="000000"/>
              </w:rPr>
              <w:t>9.64</w:t>
            </w:r>
          </w:p>
        </w:tc>
        <w:tc>
          <w:tcPr>
            <w:tcW w:w="1188" w:type="dxa"/>
            <w:tcBorders>
              <w:top w:val="nil"/>
              <w:left w:val="nil"/>
              <w:bottom w:val="nil"/>
              <w:right w:val="nil"/>
            </w:tcBorders>
            <w:shd w:val="clear" w:color="auto" w:fill="auto"/>
            <w:noWrap/>
            <w:vAlign w:val="center"/>
            <w:hideMark/>
          </w:tcPr>
          <w:p w14:paraId="6A63E47B" w14:textId="77777777" w:rsidR="00684187" w:rsidRPr="00B13A25" w:rsidRDefault="00684187" w:rsidP="002B33C4">
            <w:pPr>
              <w:spacing w:line="360" w:lineRule="auto"/>
              <w:jc w:val="right"/>
              <w:rPr>
                <w:color w:val="000000"/>
              </w:rPr>
            </w:pPr>
            <w:r w:rsidRPr="00B13A25">
              <w:rPr>
                <w:color w:val="000000"/>
              </w:rPr>
              <w:t>9.45</w:t>
            </w:r>
          </w:p>
        </w:tc>
        <w:tc>
          <w:tcPr>
            <w:tcW w:w="1188" w:type="dxa"/>
            <w:tcBorders>
              <w:top w:val="nil"/>
              <w:left w:val="nil"/>
              <w:bottom w:val="nil"/>
              <w:right w:val="nil"/>
            </w:tcBorders>
            <w:shd w:val="clear" w:color="auto" w:fill="auto"/>
            <w:noWrap/>
            <w:vAlign w:val="center"/>
            <w:hideMark/>
          </w:tcPr>
          <w:p w14:paraId="15414549" w14:textId="77777777" w:rsidR="00684187" w:rsidRPr="00B13A25" w:rsidRDefault="00684187" w:rsidP="002B33C4">
            <w:pPr>
              <w:spacing w:line="360" w:lineRule="auto"/>
              <w:jc w:val="right"/>
              <w:rPr>
                <w:color w:val="000000"/>
              </w:rPr>
            </w:pPr>
            <w:r w:rsidRPr="00B13A25">
              <w:rPr>
                <w:color w:val="000000"/>
              </w:rPr>
              <w:t>10.93</w:t>
            </w:r>
          </w:p>
        </w:tc>
        <w:tc>
          <w:tcPr>
            <w:tcW w:w="1233" w:type="dxa"/>
            <w:tcBorders>
              <w:top w:val="nil"/>
              <w:left w:val="nil"/>
              <w:bottom w:val="nil"/>
              <w:right w:val="nil"/>
            </w:tcBorders>
            <w:shd w:val="clear" w:color="auto" w:fill="auto"/>
            <w:noWrap/>
            <w:vAlign w:val="center"/>
            <w:hideMark/>
          </w:tcPr>
          <w:p w14:paraId="040BCC01" w14:textId="77777777" w:rsidR="00684187" w:rsidRPr="00B13A25" w:rsidRDefault="00684187" w:rsidP="002B33C4">
            <w:pPr>
              <w:spacing w:line="360" w:lineRule="auto"/>
              <w:jc w:val="right"/>
              <w:rPr>
                <w:color w:val="000000"/>
              </w:rPr>
            </w:pPr>
            <w:r w:rsidRPr="00B13A25">
              <w:rPr>
                <w:color w:val="000000"/>
              </w:rPr>
              <w:t>13.57</w:t>
            </w:r>
          </w:p>
        </w:tc>
        <w:tc>
          <w:tcPr>
            <w:tcW w:w="1361" w:type="dxa"/>
            <w:tcBorders>
              <w:top w:val="nil"/>
              <w:left w:val="nil"/>
              <w:bottom w:val="nil"/>
              <w:right w:val="nil"/>
            </w:tcBorders>
            <w:shd w:val="clear" w:color="auto" w:fill="auto"/>
            <w:noWrap/>
            <w:vAlign w:val="center"/>
            <w:hideMark/>
          </w:tcPr>
          <w:p w14:paraId="539DE49B" w14:textId="77777777" w:rsidR="00684187" w:rsidRPr="00B13A25" w:rsidRDefault="00684187" w:rsidP="002B33C4">
            <w:pPr>
              <w:spacing w:line="360" w:lineRule="auto"/>
              <w:jc w:val="right"/>
              <w:rPr>
                <w:color w:val="000000"/>
              </w:rPr>
            </w:pPr>
            <w:r w:rsidRPr="00B13A25">
              <w:rPr>
                <w:color w:val="000000"/>
              </w:rPr>
              <w:t>1.84</w:t>
            </w:r>
          </w:p>
        </w:tc>
      </w:tr>
      <w:tr w:rsidR="00884149" w:rsidRPr="00B13A25" w14:paraId="545DEA88" w14:textId="77777777" w:rsidTr="008B5659">
        <w:trPr>
          <w:trHeight w:val="300"/>
        </w:trPr>
        <w:tc>
          <w:tcPr>
            <w:tcW w:w="1586" w:type="dxa"/>
            <w:tcBorders>
              <w:top w:val="nil"/>
              <w:left w:val="nil"/>
              <w:bottom w:val="nil"/>
              <w:right w:val="nil"/>
            </w:tcBorders>
            <w:shd w:val="clear" w:color="auto" w:fill="auto"/>
            <w:noWrap/>
            <w:vAlign w:val="center"/>
            <w:hideMark/>
          </w:tcPr>
          <w:p w14:paraId="26802AD5" w14:textId="77777777" w:rsidR="00684187" w:rsidRPr="00B13A25" w:rsidRDefault="00684187" w:rsidP="002B33C4">
            <w:pPr>
              <w:spacing w:line="360" w:lineRule="auto"/>
              <w:rPr>
                <w:color w:val="000000"/>
              </w:rPr>
            </w:pPr>
            <w:r w:rsidRPr="00B13A25">
              <w:rPr>
                <w:color w:val="000000"/>
              </w:rPr>
              <w:t>voc</w:t>
            </w:r>
          </w:p>
        </w:tc>
        <w:tc>
          <w:tcPr>
            <w:tcW w:w="1192" w:type="dxa"/>
            <w:tcBorders>
              <w:top w:val="nil"/>
              <w:left w:val="nil"/>
              <w:bottom w:val="nil"/>
              <w:right w:val="nil"/>
            </w:tcBorders>
            <w:shd w:val="clear" w:color="auto" w:fill="auto"/>
            <w:noWrap/>
            <w:vAlign w:val="center"/>
            <w:hideMark/>
          </w:tcPr>
          <w:p w14:paraId="1DF7F23E" w14:textId="77777777" w:rsidR="00684187" w:rsidRPr="00B13A25" w:rsidRDefault="00684187" w:rsidP="002B33C4">
            <w:pPr>
              <w:spacing w:line="360" w:lineRule="auto"/>
              <w:jc w:val="right"/>
              <w:rPr>
                <w:color w:val="000000"/>
              </w:rPr>
            </w:pPr>
            <w:r w:rsidRPr="00B13A25">
              <w:rPr>
                <w:color w:val="000000"/>
              </w:rPr>
              <w:t>0.00</w:t>
            </w:r>
          </w:p>
        </w:tc>
        <w:tc>
          <w:tcPr>
            <w:tcW w:w="1188" w:type="dxa"/>
            <w:tcBorders>
              <w:top w:val="nil"/>
              <w:left w:val="nil"/>
              <w:bottom w:val="nil"/>
              <w:right w:val="nil"/>
            </w:tcBorders>
            <w:shd w:val="clear" w:color="auto" w:fill="auto"/>
            <w:noWrap/>
            <w:vAlign w:val="center"/>
            <w:hideMark/>
          </w:tcPr>
          <w:p w14:paraId="4C14E53A" w14:textId="77777777" w:rsidR="00684187" w:rsidRPr="00B13A25" w:rsidRDefault="00684187" w:rsidP="002B33C4">
            <w:pPr>
              <w:spacing w:line="360" w:lineRule="auto"/>
              <w:jc w:val="right"/>
              <w:rPr>
                <w:color w:val="000000"/>
              </w:rPr>
            </w:pPr>
            <w:r w:rsidRPr="00B13A25">
              <w:rPr>
                <w:color w:val="000000"/>
              </w:rPr>
              <w:t>0.00</w:t>
            </w:r>
          </w:p>
        </w:tc>
        <w:tc>
          <w:tcPr>
            <w:tcW w:w="1188" w:type="dxa"/>
            <w:tcBorders>
              <w:top w:val="nil"/>
              <w:left w:val="nil"/>
              <w:bottom w:val="nil"/>
              <w:right w:val="nil"/>
            </w:tcBorders>
            <w:shd w:val="clear" w:color="auto" w:fill="auto"/>
            <w:noWrap/>
            <w:vAlign w:val="center"/>
            <w:hideMark/>
          </w:tcPr>
          <w:p w14:paraId="58AABE75" w14:textId="77777777" w:rsidR="00684187" w:rsidRPr="00B13A25" w:rsidRDefault="00684187" w:rsidP="002B33C4">
            <w:pPr>
              <w:spacing w:line="360" w:lineRule="auto"/>
              <w:jc w:val="right"/>
              <w:rPr>
                <w:color w:val="000000"/>
              </w:rPr>
            </w:pPr>
            <w:r w:rsidRPr="00B13A25">
              <w:rPr>
                <w:color w:val="000000"/>
              </w:rPr>
              <w:t>0.50</w:t>
            </w:r>
          </w:p>
        </w:tc>
        <w:tc>
          <w:tcPr>
            <w:tcW w:w="1188" w:type="dxa"/>
            <w:tcBorders>
              <w:top w:val="nil"/>
              <w:left w:val="nil"/>
              <w:bottom w:val="nil"/>
              <w:right w:val="nil"/>
            </w:tcBorders>
            <w:shd w:val="clear" w:color="auto" w:fill="auto"/>
            <w:noWrap/>
            <w:vAlign w:val="center"/>
            <w:hideMark/>
          </w:tcPr>
          <w:p w14:paraId="295966EC" w14:textId="77777777" w:rsidR="00684187" w:rsidRPr="00B13A25" w:rsidRDefault="00684187" w:rsidP="002B33C4">
            <w:pPr>
              <w:spacing w:line="360" w:lineRule="auto"/>
              <w:jc w:val="right"/>
              <w:rPr>
                <w:color w:val="000000"/>
              </w:rPr>
            </w:pPr>
            <w:r w:rsidRPr="00B13A25">
              <w:rPr>
                <w:color w:val="000000"/>
              </w:rPr>
              <w:t>0.50</w:t>
            </w:r>
          </w:p>
        </w:tc>
        <w:tc>
          <w:tcPr>
            <w:tcW w:w="1188" w:type="dxa"/>
            <w:tcBorders>
              <w:top w:val="nil"/>
              <w:left w:val="nil"/>
              <w:bottom w:val="nil"/>
              <w:right w:val="nil"/>
            </w:tcBorders>
            <w:shd w:val="clear" w:color="auto" w:fill="auto"/>
            <w:noWrap/>
            <w:vAlign w:val="center"/>
            <w:hideMark/>
          </w:tcPr>
          <w:p w14:paraId="65CE2C19" w14:textId="77777777" w:rsidR="00684187" w:rsidRPr="00B13A25" w:rsidRDefault="00684187" w:rsidP="002B33C4">
            <w:pPr>
              <w:spacing w:line="360" w:lineRule="auto"/>
              <w:jc w:val="right"/>
              <w:rPr>
                <w:color w:val="000000"/>
              </w:rPr>
            </w:pPr>
            <w:r w:rsidRPr="00B13A25">
              <w:rPr>
                <w:color w:val="000000"/>
              </w:rPr>
              <w:t>1.00</w:t>
            </w:r>
          </w:p>
        </w:tc>
        <w:tc>
          <w:tcPr>
            <w:tcW w:w="1233" w:type="dxa"/>
            <w:tcBorders>
              <w:top w:val="nil"/>
              <w:left w:val="nil"/>
              <w:bottom w:val="nil"/>
              <w:right w:val="nil"/>
            </w:tcBorders>
            <w:shd w:val="clear" w:color="auto" w:fill="auto"/>
            <w:noWrap/>
            <w:vAlign w:val="center"/>
            <w:hideMark/>
          </w:tcPr>
          <w:p w14:paraId="317E960C" w14:textId="77777777" w:rsidR="00684187" w:rsidRPr="00B13A25" w:rsidRDefault="00684187" w:rsidP="002B33C4">
            <w:pPr>
              <w:spacing w:line="360" w:lineRule="auto"/>
              <w:jc w:val="right"/>
              <w:rPr>
                <w:color w:val="000000"/>
              </w:rPr>
            </w:pPr>
            <w:r w:rsidRPr="00B13A25">
              <w:rPr>
                <w:color w:val="000000"/>
              </w:rPr>
              <w:t>1.00</w:t>
            </w:r>
          </w:p>
        </w:tc>
        <w:tc>
          <w:tcPr>
            <w:tcW w:w="1361" w:type="dxa"/>
            <w:tcBorders>
              <w:top w:val="nil"/>
              <w:left w:val="nil"/>
              <w:bottom w:val="nil"/>
              <w:right w:val="nil"/>
            </w:tcBorders>
            <w:shd w:val="clear" w:color="auto" w:fill="auto"/>
            <w:noWrap/>
            <w:vAlign w:val="center"/>
            <w:hideMark/>
          </w:tcPr>
          <w:p w14:paraId="604F1177" w14:textId="77777777" w:rsidR="00684187" w:rsidRPr="00B13A25" w:rsidRDefault="00684187" w:rsidP="002B33C4">
            <w:pPr>
              <w:spacing w:line="360" w:lineRule="auto"/>
              <w:jc w:val="right"/>
              <w:rPr>
                <w:color w:val="000000"/>
              </w:rPr>
            </w:pPr>
            <w:r w:rsidRPr="00B13A25">
              <w:rPr>
                <w:color w:val="000000"/>
              </w:rPr>
              <w:t>0.50</w:t>
            </w:r>
          </w:p>
        </w:tc>
      </w:tr>
      <w:tr w:rsidR="008B5659" w:rsidRPr="00B13A25" w14:paraId="2AE4F16C" w14:textId="77777777" w:rsidTr="008B5659">
        <w:trPr>
          <w:trHeight w:val="300"/>
        </w:trPr>
        <w:tc>
          <w:tcPr>
            <w:tcW w:w="1586" w:type="dxa"/>
            <w:tcBorders>
              <w:top w:val="nil"/>
              <w:left w:val="nil"/>
              <w:bottom w:val="nil"/>
              <w:right w:val="nil"/>
            </w:tcBorders>
            <w:shd w:val="clear" w:color="auto" w:fill="auto"/>
            <w:noWrap/>
            <w:vAlign w:val="center"/>
          </w:tcPr>
          <w:p w14:paraId="31FB3741" w14:textId="77777777" w:rsidR="00684187" w:rsidRPr="00B13A25" w:rsidRDefault="00684187" w:rsidP="002B33C4">
            <w:pPr>
              <w:spacing w:line="360" w:lineRule="auto"/>
              <w:rPr>
                <w:color w:val="000000"/>
              </w:rPr>
            </w:pPr>
            <w:r w:rsidRPr="00B13A25">
              <w:rPr>
                <w:color w:val="000000"/>
              </w:rPr>
              <w:t>voc</w:t>
            </w:r>
            <w:r w:rsidRPr="00B13A25">
              <w:rPr>
                <w:color w:val="000000"/>
                <w:vertAlign w:val="subscript"/>
              </w:rPr>
              <w:t>pc</w:t>
            </w:r>
          </w:p>
        </w:tc>
        <w:tc>
          <w:tcPr>
            <w:tcW w:w="1192" w:type="dxa"/>
            <w:tcBorders>
              <w:top w:val="nil"/>
              <w:left w:val="nil"/>
              <w:bottom w:val="nil"/>
              <w:right w:val="nil"/>
            </w:tcBorders>
            <w:shd w:val="clear" w:color="auto" w:fill="auto"/>
            <w:noWrap/>
            <w:vAlign w:val="center"/>
          </w:tcPr>
          <w:p w14:paraId="0D8375E8" w14:textId="77777777" w:rsidR="00684187" w:rsidRPr="00B13A25" w:rsidRDefault="00684187" w:rsidP="002B33C4">
            <w:pPr>
              <w:spacing w:line="360" w:lineRule="auto"/>
              <w:jc w:val="right"/>
              <w:rPr>
                <w:color w:val="000000"/>
              </w:rPr>
            </w:pPr>
            <w:r w:rsidRPr="00B13A25">
              <w:rPr>
                <w:color w:val="000000"/>
              </w:rPr>
              <w:t>1.30</w:t>
            </w:r>
          </w:p>
        </w:tc>
        <w:tc>
          <w:tcPr>
            <w:tcW w:w="1188" w:type="dxa"/>
            <w:tcBorders>
              <w:top w:val="nil"/>
              <w:left w:val="nil"/>
              <w:bottom w:val="nil"/>
              <w:right w:val="nil"/>
            </w:tcBorders>
            <w:shd w:val="clear" w:color="auto" w:fill="auto"/>
            <w:noWrap/>
            <w:vAlign w:val="center"/>
          </w:tcPr>
          <w:p w14:paraId="074F0F17" w14:textId="77777777" w:rsidR="00684187" w:rsidRPr="00B13A25" w:rsidRDefault="00684187" w:rsidP="002B33C4">
            <w:pPr>
              <w:spacing w:line="360" w:lineRule="auto"/>
              <w:jc w:val="right"/>
              <w:rPr>
                <w:color w:val="000000"/>
              </w:rPr>
            </w:pPr>
            <w:r w:rsidRPr="00B13A25">
              <w:rPr>
                <w:color w:val="000000"/>
              </w:rPr>
              <w:t>16.66</w:t>
            </w:r>
          </w:p>
        </w:tc>
        <w:tc>
          <w:tcPr>
            <w:tcW w:w="1188" w:type="dxa"/>
            <w:tcBorders>
              <w:top w:val="nil"/>
              <w:left w:val="nil"/>
              <w:bottom w:val="nil"/>
              <w:right w:val="nil"/>
            </w:tcBorders>
            <w:shd w:val="clear" w:color="auto" w:fill="auto"/>
            <w:noWrap/>
            <w:vAlign w:val="center"/>
          </w:tcPr>
          <w:p w14:paraId="7F02959B" w14:textId="77777777" w:rsidR="00684187" w:rsidRPr="00B13A25" w:rsidRDefault="00684187" w:rsidP="002B33C4">
            <w:pPr>
              <w:spacing w:line="360" w:lineRule="auto"/>
              <w:jc w:val="right"/>
              <w:rPr>
                <w:color w:val="000000"/>
              </w:rPr>
            </w:pPr>
            <w:r w:rsidRPr="00B13A25">
              <w:rPr>
                <w:color w:val="000000"/>
              </w:rPr>
              <w:t>27.72</w:t>
            </w:r>
          </w:p>
        </w:tc>
        <w:tc>
          <w:tcPr>
            <w:tcW w:w="1188" w:type="dxa"/>
            <w:tcBorders>
              <w:top w:val="nil"/>
              <w:left w:val="nil"/>
              <w:bottom w:val="nil"/>
              <w:right w:val="nil"/>
            </w:tcBorders>
            <w:shd w:val="clear" w:color="auto" w:fill="auto"/>
            <w:noWrap/>
            <w:vAlign w:val="center"/>
          </w:tcPr>
          <w:p w14:paraId="21325A9D" w14:textId="77777777" w:rsidR="00684187" w:rsidRPr="00B13A25" w:rsidRDefault="00684187" w:rsidP="002B33C4">
            <w:pPr>
              <w:spacing w:line="360" w:lineRule="auto"/>
              <w:jc w:val="right"/>
              <w:rPr>
                <w:color w:val="000000"/>
              </w:rPr>
            </w:pPr>
            <w:r w:rsidRPr="00B13A25">
              <w:rPr>
                <w:color w:val="000000"/>
              </w:rPr>
              <w:t>27.25</w:t>
            </w:r>
          </w:p>
        </w:tc>
        <w:tc>
          <w:tcPr>
            <w:tcW w:w="1188" w:type="dxa"/>
            <w:tcBorders>
              <w:top w:val="nil"/>
              <w:left w:val="nil"/>
              <w:bottom w:val="nil"/>
              <w:right w:val="nil"/>
            </w:tcBorders>
            <w:shd w:val="clear" w:color="auto" w:fill="auto"/>
            <w:noWrap/>
            <w:vAlign w:val="center"/>
          </w:tcPr>
          <w:p w14:paraId="23CB03E4" w14:textId="77777777" w:rsidR="00684187" w:rsidRPr="00B13A25" w:rsidRDefault="00684187" w:rsidP="002B33C4">
            <w:pPr>
              <w:spacing w:line="360" w:lineRule="auto"/>
              <w:jc w:val="right"/>
              <w:rPr>
                <w:color w:val="000000"/>
              </w:rPr>
            </w:pPr>
            <w:r w:rsidRPr="00B13A25">
              <w:rPr>
                <w:color w:val="000000"/>
              </w:rPr>
              <w:t>34.85</w:t>
            </w:r>
          </w:p>
        </w:tc>
        <w:tc>
          <w:tcPr>
            <w:tcW w:w="1233" w:type="dxa"/>
            <w:tcBorders>
              <w:top w:val="nil"/>
              <w:left w:val="nil"/>
              <w:bottom w:val="nil"/>
              <w:right w:val="nil"/>
            </w:tcBorders>
            <w:shd w:val="clear" w:color="auto" w:fill="auto"/>
            <w:noWrap/>
            <w:vAlign w:val="center"/>
          </w:tcPr>
          <w:p w14:paraId="3E6106EA" w14:textId="77777777" w:rsidR="00684187" w:rsidRPr="00B13A25" w:rsidRDefault="00684187" w:rsidP="002B33C4">
            <w:pPr>
              <w:spacing w:line="360" w:lineRule="auto"/>
              <w:jc w:val="right"/>
              <w:rPr>
                <w:color w:val="000000"/>
              </w:rPr>
            </w:pPr>
            <w:r w:rsidRPr="00B13A25">
              <w:rPr>
                <w:color w:val="000000"/>
              </w:rPr>
              <w:t>69.01</w:t>
            </w:r>
          </w:p>
        </w:tc>
        <w:tc>
          <w:tcPr>
            <w:tcW w:w="1361" w:type="dxa"/>
            <w:tcBorders>
              <w:top w:val="nil"/>
              <w:left w:val="nil"/>
              <w:bottom w:val="nil"/>
              <w:right w:val="nil"/>
            </w:tcBorders>
            <w:shd w:val="clear" w:color="auto" w:fill="auto"/>
            <w:noWrap/>
            <w:vAlign w:val="center"/>
          </w:tcPr>
          <w:p w14:paraId="2B53049E" w14:textId="77777777" w:rsidR="00684187" w:rsidRPr="00B13A25" w:rsidRDefault="00684187" w:rsidP="002B33C4">
            <w:pPr>
              <w:spacing w:line="360" w:lineRule="auto"/>
              <w:jc w:val="right"/>
              <w:rPr>
                <w:color w:val="000000"/>
              </w:rPr>
            </w:pPr>
            <w:r w:rsidRPr="00B13A25">
              <w:rPr>
                <w:color w:val="000000"/>
              </w:rPr>
              <w:t>13.47</w:t>
            </w:r>
          </w:p>
        </w:tc>
      </w:tr>
      <w:tr w:rsidR="00884149" w:rsidRPr="00B13A25" w14:paraId="668B6AF7" w14:textId="77777777" w:rsidTr="008B5659">
        <w:trPr>
          <w:trHeight w:val="80"/>
        </w:trPr>
        <w:tc>
          <w:tcPr>
            <w:tcW w:w="1586" w:type="dxa"/>
            <w:tcBorders>
              <w:top w:val="nil"/>
              <w:left w:val="nil"/>
              <w:bottom w:val="nil"/>
              <w:right w:val="nil"/>
            </w:tcBorders>
            <w:shd w:val="clear" w:color="auto" w:fill="auto"/>
            <w:noWrap/>
            <w:vAlign w:val="center"/>
            <w:hideMark/>
          </w:tcPr>
          <w:p w14:paraId="2C0E95C6" w14:textId="77777777" w:rsidR="00684187" w:rsidRPr="00B13A25" w:rsidRDefault="00684187" w:rsidP="002B33C4">
            <w:pPr>
              <w:spacing w:line="360" w:lineRule="auto"/>
              <w:rPr>
                <w:color w:val="000000"/>
              </w:rPr>
            </w:pPr>
            <w:r w:rsidRPr="00B13A25">
              <w:rPr>
                <w:color w:val="000000"/>
              </w:rPr>
              <w:t>ctfp</w:t>
            </w:r>
          </w:p>
        </w:tc>
        <w:tc>
          <w:tcPr>
            <w:tcW w:w="1192" w:type="dxa"/>
            <w:tcBorders>
              <w:top w:val="nil"/>
              <w:left w:val="nil"/>
              <w:bottom w:val="nil"/>
              <w:right w:val="nil"/>
            </w:tcBorders>
            <w:shd w:val="clear" w:color="auto" w:fill="auto"/>
            <w:noWrap/>
            <w:vAlign w:val="center"/>
            <w:hideMark/>
          </w:tcPr>
          <w:p w14:paraId="4694A917" w14:textId="77777777" w:rsidR="00684187" w:rsidRPr="00B13A25" w:rsidRDefault="00684187" w:rsidP="002B33C4">
            <w:pPr>
              <w:spacing w:line="360" w:lineRule="auto"/>
              <w:jc w:val="right"/>
              <w:rPr>
                <w:color w:val="000000"/>
              </w:rPr>
            </w:pPr>
            <w:r w:rsidRPr="00B13A25">
              <w:rPr>
                <w:color w:val="000000"/>
              </w:rPr>
              <w:t>0.45</w:t>
            </w:r>
          </w:p>
        </w:tc>
        <w:tc>
          <w:tcPr>
            <w:tcW w:w="1188" w:type="dxa"/>
            <w:tcBorders>
              <w:top w:val="nil"/>
              <w:left w:val="nil"/>
              <w:bottom w:val="nil"/>
              <w:right w:val="nil"/>
            </w:tcBorders>
            <w:shd w:val="clear" w:color="auto" w:fill="auto"/>
            <w:noWrap/>
            <w:vAlign w:val="center"/>
            <w:hideMark/>
          </w:tcPr>
          <w:p w14:paraId="5027C13A" w14:textId="77777777" w:rsidR="00684187" w:rsidRPr="00B13A25" w:rsidRDefault="00684187" w:rsidP="002B33C4">
            <w:pPr>
              <w:spacing w:line="360" w:lineRule="auto"/>
              <w:jc w:val="right"/>
              <w:rPr>
                <w:color w:val="000000"/>
              </w:rPr>
            </w:pPr>
            <w:r w:rsidRPr="00B13A25">
              <w:rPr>
                <w:color w:val="000000"/>
              </w:rPr>
              <w:t>0.76</w:t>
            </w:r>
          </w:p>
        </w:tc>
        <w:tc>
          <w:tcPr>
            <w:tcW w:w="1188" w:type="dxa"/>
            <w:tcBorders>
              <w:top w:val="nil"/>
              <w:left w:val="nil"/>
              <w:bottom w:val="nil"/>
              <w:right w:val="nil"/>
            </w:tcBorders>
            <w:shd w:val="clear" w:color="auto" w:fill="auto"/>
            <w:noWrap/>
            <w:vAlign w:val="center"/>
            <w:hideMark/>
          </w:tcPr>
          <w:p w14:paraId="202CC12A" w14:textId="77777777" w:rsidR="00684187" w:rsidRPr="00B13A25" w:rsidRDefault="00684187" w:rsidP="002B33C4">
            <w:pPr>
              <w:spacing w:line="360" w:lineRule="auto"/>
              <w:jc w:val="right"/>
              <w:rPr>
                <w:color w:val="000000"/>
              </w:rPr>
            </w:pPr>
            <w:r w:rsidRPr="00B13A25">
              <w:rPr>
                <w:color w:val="000000"/>
              </w:rPr>
              <w:t>0.87</w:t>
            </w:r>
          </w:p>
        </w:tc>
        <w:tc>
          <w:tcPr>
            <w:tcW w:w="1188" w:type="dxa"/>
            <w:tcBorders>
              <w:top w:val="nil"/>
              <w:left w:val="nil"/>
              <w:bottom w:val="nil"/>
              <w:right w:val="nil"/>
            </w:tcBorders>
            <w:shd w:val="clear" w:color="auto" w:fill="auto"/>
            <w:noWrap/>
            <w:vAlign w:val="center"/>
            <w:hideMark/>
          </w:tcPr>
          <w:p w14:paraId="6FFB1BBB" w14:textId="77777777" w:rsidR="00684187" w:rsidRPr="00B13A25" w:rsidRDefault="00684187" w:rsidP="002B33C4">
            <w:pPr>
              <w:spacing w:line="360" w:lineRule="auto"/>
              <w:jc w:val="right"/>
              <w:rPr>
                <w:color w:val="000000"/>
              </w:rPr>
            </w:pPr>
            <w:r w:rsidRPr="00B13A25">
              <w:rPr>
                <w:color w:val="000000"/>
              </w:rPr>
              <w:t>0.88</w:t>
            </w:r>
          </w:p>
        </w:tc>
        <w:tc>
          <w:tcPr>
            <w:tcW w:w="1188" w:type="dxa"/>
            <w:tcBorders>
              <w:top w:val="nil"/>
              <w:left w:val="nil"/>
              <w:bottom w:val="nil"/>
              <w:right w:val="nil"/>
            </w:tcBorders>
            <w:shd w:val="clear" w:color="auto" w:fill="auto"/>
            <w:noWrap/>
            <w:vAlign w:val="center"/>
            <w:hideMark/>
          </w:tcPr>
          <w:p w14:paraId="0F63CCF9" w14:textId="77777777" w:rsidR="00684187" w:rsidRPr="00B13A25" w:rsidRDefault="00684187" w:rsidP="002B33C4">
            <w:pPr>
              <w:spacing w:line="360" w:lineRule="auto"/>
              <w:jc w:val="right"/>
              <w:rPr>
                <w:color w:val="000000"/>
              </w:rPr>
            </w:pPr>
            <w:r w:rsidRPr="00B13A25">
              <w:rPr>
                <w:color w:val="000000"/>
              </w:rPr>
              <w:t>0.98</w:t>
            </w:r>
          </w:p>
        </w:tc>
        <w:tc>
          <w:tcPr>
            <w:tcW w:w="1233" w:type="dxa"/>
            <w:tcBorders>
              <w:top w:val="nil"/>
              <w:left w:val="nil"/>
              <w:bottom w:val="nil"/>
              <w:right w:val="nil"/>
            </w:tcBorders>
            <w:shd w:val="clear" w:color="auto" w:fill="auto"/>
            <w:noWrap/>
            <w:vAlign w:val="center"/>
            <w:hideMark/>
          </w:tcPr>
          <w:p w14:paraId="02BB1FA3" w14:textId="77777777" w:rsidR="00684187" w:rsidRPr="00B13A25" w:rsidRDefault="00684187" w:rsidP="002B33C4">
            <w:pPr>
              <w:spacing w:line="360" w:lineRule="auto"/>
              <w:jc w:val="right"/>
              <w:rPr>
                <w:color w:val="000000"/>
              </w:rPr>
            </w:pPr>
            <w:r w:rsidRPr="00B13A25">
              <w:rPr>
                <w:color w:val="000000"/>
              </w:rPr>
              <w:t>1.44</w:t>
            </w:r>
          </w:p>
        </w:tc>
        <w:tc>
          <w:tcPr>
            <w:tcW w:w="1361" w:type="dxa"/>
            <w:tcBorders>
              <w:top w:val="nil"/>
              <w:left w:val="nil"/>
              <w:bottom w:val="nil"/>
              <w:right w:val="nil"/>
            </w:tcBorders>
            <w:shd w:val="clear" w:color="auto" w:fill="auto"/>
            <w:noWrap/>
            <w:vAlign w:val="center"/>
            <w:hideMark/>
          </w:tcPr>
          <w:p w14:paraId="5FB96603" w14:textId="77777777" w:rsidR="00684187" w:rsidRPr="00B13A25" w:rsidRDefault="00684187" w:rsidP="002B33C4">
            <w:pPr>
              <w:spacing w:line="360" w:lineRule="auto"/>
              <w:jc w:val="right"/>
              <w:rPr>
                <w:color w:val="000000"/>
              </w:rPr>
            </w:pPr>
            <w:r w:rsidRPr="00B13A25">
              <w:rPr>
                <w:color w:val="000000"/>
              </w:rPr>
              <w:t>0.18</w:t>
            </w:r>
          </w:p>
        </w:tc>
      </w:tr>
    </w:tbl>
    <w:p w14:paraId="0D936977" w14:textId="77777777" w:rsidR="00684187" w:rsidRPr="00B13A25" w:rsidRDefault="00684187" w:rsidP="002B33C4">
      <w:pPr>
        <w:spacing w:line="360" w:lineRule="auto"/>
      </w:pPr>
      <w:r w:rsidRPr="00B13A25">
        <w:br w:type="page"/>
      </w:r>
    </w:p>
    <w:p w14:paraId="4CCE41AF" w14:textId="24DADBE8" w:rsidR="005C18C8" w:rsidRPr="00B13A25" w:rsidRDefault="00684187" w:rsidP="002B33C4">
      <w:pPr>
        <w:spacing w:line="360" w:lineRule="auto"/>
      </w:pPr>
      <w:r w:rsidRPr="00B13A25">
        <w:lastRenderedPageBreak/>
        <w:t xml:space="preserve">From a visual examination of model 4’s residual plot, the </w:t>
      </w:r>
      <w:r w:rsidR="005C18C8">
        <w:t>model</w:t>
      </w:r>
      <w:r w:rsidRPr="00B13A25">
        <w:t xml:space="preserve"> appears to be </w:t>
      </w:r>
      <w:r w:rsidR="005C18C8">
        <w:t>slightly hetero</w:t>
      </w:r>
      <w:r w:rsidRPr="00B13A25">
        <w:t>scedastic</w:t>
      </w:r>
      <w:r w:rsidR="005C18C8">
        <w:t xml:space="preserve">, which </w:t>
      </w:r>
      <w:r w:rsidRPr="00B13A25">
        <w:t>White’s Test</w:t>
      </w:r>
      <w:r w:rsidR="005C18C8">
        <w:t xml:space="preserve"> confirms. This suggests that the log-log model form has not eliminated the heteroscedasticity issue in data. A future analysis might attempt to resolve this challenge by considering a wider range of model forms.</w:t>
      </w:r>
    </w:p>
    <w:p w14:paraId="5055FA13" w14:textId="77777777" w:rsidR="00684187" w:rsidRPr="00B13A25" w:rsidRDefault="00684187" w:rsidP="002B33C4">
      <w:pPr>
        <w:pStyle w:val="Heading2"/>
        <w:rPr>
          <w:rFonts w:cs="Times New Roman"/>
        </w:rPr>
      </w:pPr>
      <w:r w:rsidRPr="00B13A25">
        <w:rPr>
          <w:rFonts w:cs="Times New Roman"/>
          <w:noProof/>
        </w:rPr>
        <w:drawing>
          <wp:inline distT="0" distB="0" distL="0" distR="0" wp14:anchorId="71A58EE4" wp14:editId="7767B770">
            <wp:extent cx="4930445" cy="3698653"/>
            <wp:effectExtent l="0" t="0" r="0" b="0"/>
            <wp:docPr id="158820460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950421" cy="3713639"/>
                    </a:xfrm>
                    <a:prstGeom prst="rect">
                      <a:avLst/>
                    </a:prstGeom>
                    <a:noFill/>
                    <a:ln>
                      <a:noFill/>
                    </a:ln>
                  </pic:spPr>
                </pic:pic>
              </a:graphicData>
            </a:graphic>
          </wp:inline>
        </w:drawing>
      </w:r>
    </w:p>
    <w:p w14:paraId="0D67844C" w14:textId="77777777" w:rsidR="00684187" w:rsidRPr="00B13A25" w:rsidRDefault="00684187" w:rsidP="002B33C4">
      <w:pPr>
        <w:pStyle w:val="Heading2"/>
        <w:rPr>
          <w:rFonts w:cs="Times New Roman"/>
        </w:rPr>
      </w:pPr>
      <w:r w:rsidRPr="00B13A25">
        <w:rPr>
          <w:rFonts w:cs="Times New Roman"/>
        </w:rPr>
        <w:t>References</w:t>
      </w:r>
    </w:p>
    <w:p w14:paraId="574AFF78" w14:textId="3F30D311" w:rsidR="00684187" w:rsidRPr="00B13A25" w:rsidRDefault="00684187" w:rsidP="002B33C4">
      <w:pPr>
        <w:spacing w:line="360" w:lineRule="auto"/>
      </w:pPr>
      <w:r w:rsidRPr="00B13A25">
        <w:t xml:space="preserve">Penn World Tables 10.01: </w:t>
      </w:r>
      <w:hyperlink r:id="rId17" w:history="1">
        <w:r w:rsidRPr="00B13A25">
          <w:rPr>
            <w:rStyle w:val="Hyperlink"/>
          </w:rPr>
          <w:t>https://www.rug.nl/ggdc/productivity/pwt/?lang=en</w:t>
        </w:r>
      </w:hyperlink>
      <w:r w:rsidRPr="00B13A25">
        <w:t xml:space="preserve"> </w:t>
      </w:r>
    </w:p>
    <w:p w14:paraId="733790B5" w14:textId="77777777" w:rsidR="00684187" w:rsidRPr="00B13A25" w:rsidRDefault="00684187" w:rsidP="002B33C4">
      <w:pPr>
        <w:spacing w:line="360" w:lineRule="auto"/>
      </w:pPr>
      <w:r w:rsidRPr="00B13A25">
        <w:t xml:space="preserve">Barro and Lee Educational Attainment Data: </w:t>
      </w:r>
      <w:hyperlink r:id="rId18" w:history="1">
        <w:r w:rsidRPr="00B13A25">
          <w:rPr>
            <w:rStyle w:val="Hyperlink"/>
          </w:rPr>
          <w:t>http://www.barrolee.com/</w:t>
        </w:r>
      </w:hyperlink>
      <w:r w:rsidRPr="00B13A25">
        <w:t xml:space="preserve"> </w:t>
      </w:r>
    </w:p>
    <w:p w14:paraId="35B76218" w14:textId="77777777" w:rsidR="00684187" w:rsidRPr="00B13A25" w:rsidRDefault="00684187" w:rsidP="002B33C4">
      <w:pPr>
        <w:spacing w:line="360" w:lineRule="auto"/>
      </w:pPr>
      <w:r w:rsidRPr="00B13A25">
        <w:t xml:space="preserve">World Bank Education Statistics: </w:t>
      </w:r>
      <w:hyperlink r:id="rId19" w:history="1">
        <w:r w:rsidRPr="00B13A25">
          <w:rPr>
            <w:rStyle w:val="Hyperlink"/>
          </w:rPr>
          <w:t>https://datatopics.worldbank.org/education/</w:t>
        </w:r>
      </w:hyperlink>
      <w:r w:rsidRPr="00B13A25">
        <w:t xml:space="preserve"> </w:t>
      </w:r>
    </w:p>
    <w:p w14:paraId="573B13C0" w14:textId="77777777" w:rsidR="00684187" w:rsidRPr="00B13A25" w:rsidRDefault="00684187" w:rsidP="002B33C4">
      <w:pPr>
        <w:spacing w:line="360" w:lineRule="auto"/>
      </w:pPr>
      <w:r w:rsidRPr="00B13A25">
        <w:t xml:space="preserve">US GDP Implicit Price Deflator Data: </w:t>
      </w:r>
      <w:hyperlink r:id="rId20" w:history="1">
        <w:r w:rsidRPr="00B13A25">
          <w:rPr>
            <w:rStyle w:val="Hyperlink"/>
          </w:rPr>
          <w:t>https://fred.stlouisfed.org/series/GDPDEF/</w:t>
        </w:r>
      </w:hyperlink>
      <w:r w:rsidRPr="00B13A25">
        <w:t xml:space="preserve"> </w:t>
      </w:r>
    </w:p>
    <w:p w14:paraId="10718F36" w14:textId="3A39099E" w:rsidR="00684187" w:rsidRPr="00B13A25" w:rsidRDefault="00684187" w:rsidP="002B33C4">
      <w:pPr>
        <w:spacing w:line="360" w:lineRule="auto"/>
      </w:pPr>
      <w:r w:rsidRPr="00B13A25">
        <w:t xml:space="preserve">Repository for Data Reproduction: </w:t>
      </w:r>
      <w:hyperlink r:id="rId21" w:history="1">
        <w:r w:rsidR="006778C4" w:rsidRPr="00B13A25">
          <w:rPr>
            <w:rStyle w:val="Hyperlink"/>
          </w:rPr>
          <w:t>https://github.com/jack-n-ocallaghan/ecox-5004-analysis</w:t>
        </w:r>
      </w:hyperlink>
      <w:r w:rsidR="006778C4" w:rsidRPr="00B13A25">
        <w:t xml:space="preserve"> </w:t>
      </w:r>
    </w:p>
    <w:p w14:paraId="244ADB1D" w14:textId="6BCAE322" w:rsidR="00744FFC" w:rsidRPr="00B13A25" w:rsidRDefault="00744FFC" w:rsidP="002B33C4">
      <w:pPr>
        <w:pStyle w:val="Heading1"/>
        <w:rPr>
          <w:rFonts w:cs="Times New Roman"/>
        </w:rPr>
      </w:pPr>
      <w:r w:rsidRPr="00B13A25">
        <w:rPr>
          <w:rFonts w:cs="Times New Roman"/>
        </w:rPr>
        <w:t>Methodology</w:t>
      </w:r>
    </w:p>
    <w:p w14:paraId="4DD42798" w14:textId="77777777" w:rsidR="00AF4234" w:rsidRPr="00B13A25" w:rsidRDefault="00AF4234" w:rsidP="002B33C4">
      <w:pPr>
        <w:spacing w:line="360" w:lineRule="auto"/>
      </w:pPr>
      <w:r w:rsidRPr="00B13A25">
        <w:t>This paper considers if, when accounting for a variety of confounding factors, an increase in the average number of years a citizen spends in education leads to an increase in productivity, as measured by GDP output per capita.</w:t>
      </w:r>
    </w:p>
    <w:p w14:paraId="15A0547F" w14:textId="55960799" w:rsidR="00AF4234" w:rsidRPr="00B13A25" w:rsidRDefault="00AF4234" w:rsidP="002B33C4">
      <w:pPr>
        <w:spacing w:line="360" w:lineRule="auto"/>
      </w:pPr>
      <w:r w:rsidRPr="00B13A25">
        <w:t xml:space="preserve">The intended scope of this analysis </w:t>
      </w:r>
      <w:r w:rsidR="00FD599F">
        <w:t xml:space="preserve">originally </w:t>
      </w:r>
      <w:r w:rsidRPr="00B13A25">
        <w:t>included 28 European nations (the 27 EU member states plus the United Kingdom)</w:t>
      </w:r>
      <w:r w:rsidR="00F354D7">
        <w:t xml:space="preserve">. </w:t>
      </w:r>
      <w:r w:rsidRPr="00B13A25">
        <w:t xml:space="preserve">However, due to data limitations, this analysis only covers 22 of those nations. These nations were chosen due </w:t>
      </w:r>
      <w:r w:rsidR="00B876E7">
        <w:t>to</w:t>
      </w:r>
      <w:r w:rsidRPr="00B13A25">
        <w:t xml:space="preserve"> their </w:t>
      </w:r>
      <w:r w:rsidR="00272D49">
        <w:t>historic educational and economic data availability</w:t>
      </w:r>
      <w:r w:rsidRPr="00B13A25">
        <w:t xml:space="preserve">, although future analysis might attempt to build on this by </w:t>
      </w:r>
      <w:r w:rsidRPr="00B13A25">
        <w:lastRenderedPageBreak/>
        <w:t>broadening the scope of the data used.</w:t>
      </w:r>
      <w:r w:rsidR="00B13A25" w:rsidRPr="00B13A25">
        <w:t xml:space="preserve"> </w:t>
      </w:r>
      <w:r w:rsidRPr="00B13A25">
        <w:t>Further details of those nations excluded in this analysis can be found in the technical annex.</w:t>
      </w:r>
    </w:p>
    <w:p w14:paraId="45E2553E" w14:textId="4C095883" w:rsidR="00BA3D99" w:rsidRPr="00B13A25" w:rsidRDefault="00AF4234" w:rsidP="002B33C4">
      <w:pPr>
        <w:spacing w:line="360" w:lineRule="auto"/>
      </w:pPr>
      <w:r w:rsidRPr="00B13A25">
        <w:t>To compare the impact of education on productivity across multiple countries and over time, a panel data format was constructed.</w:t>
      </w:r>
      <w:r w:rsidR="00BA3D99">
        <w:t xml:space="preserve"> Due to reporting lag and data restrictions, the analysis covers the period 1970-2015 in five-year intervals.</w:t>
      </w:r>
    </w:p>
    <w:p w14:paraId="52A586E2" w14:textId="48DBB424" w:rsidR="00B13A25" w:rsidRPr="00F63D3B" w:rsidRDefault="00AF4234" w:rsidP="002B33C4">
      <w:pPr>
        <w:spacing w:line="360" w:lineRule="auto"/>
        <w:rPr>
          <w:highlight w:val="yellow"/>
        </w:rPr>
      </w:pPr>
      <w:r w:rsidRPr="00B13A25">
        <w:t xml:space="preserve">Model estimates for this analysis were produced using a Pooled OLS approach. This method was selected as it allows us to consider the impact </w:t>
      </w:r>
      <w:r w:rsidR="008F1F4B">
        <w:t xml:space="preserve">at the broad European level </w:t>
      </w:r>
      <w:r w:rsidRPr="00B13A25">
        <w:t xml:space="preserve">and not consider country-specific effects. It is therefore important to caveat that these results represent generalised results for the impact of education, and coefficients might vary in scale by country. </w:t>
      </w:r>
      <w:r w:rsidRPr="00B13A25">
        <w:rPr>
          <w:highlight w:val="yellow"/>
        </w:rPr>
        <w:t>Do OLS assumptions hold?</w:t>
      </w:r>
    </w:p>
    <w:p w14:paraId="11D3FBEA" w14:textId="2E8E267D" w:rsidR="00AF4234" w:rsidRPr="00B13A25" w:rsidRDefault="00AF4234" w:rsidP="002B33C4">
      <w:pPr>
        <w:pStyle w:val="Heading2"/>
        <w:rPr>
          <w:rFonts w:cs="Times New Roman"/>
          <w:highlight w:val="yellow"/>
        </w:rPr>
      </w:pPr>
      <w:r w:rsidRPr="00B13A25">
        <w:rPr>
          <w:rFonts w:cs="Times New Roman"/>
        </w:rPr>
        <w:t>Table 2: Model Descriptions and Formulae</w:t>
      </w:r>
    </w:p>
    <w:tbl>
      <w:tblPr>
        <w:tblStyle w:val="TableGrid"/>
        <w:tblW w:w="9751" w:type="dxa"/>
        <w:tblLook w:val="04A0" w:firstRow="1" w:lastRow="0" w:firstColumn="1" w:lastColumn="0" w:noHBand="0" w:noVBand="1"/>
      </w:tblPr>
      <w:tblGrid>
        <w:gridCol w:w="3397"/>
        <w:gridCol w:w="6354"/>
      </w:tblGrid>
      <w:tr w:rsidR="00AF4234" w:rsidRPr="00B13A25" w14:paraId="4CE70B05" w14:textId="77777777" w:rsidTr="006952DD">
        <w:trPr>
          <w:trHeight w:val="227"/>
        </w:trPr>
        <w:tc>
          <w:tcPr>
            <w:tcW w:w="3397" w:type="dxa"/>
            <w:vAlign w:val="center"/>
          </w:tcPr>
          <w:p w14:paraId="0C73FD3A" w14:textId="77777777" w:rsidR="00AF4234" w:rsidRPr="00B13A25" w:rsidRDefault="00AF4234" w:rsidP="002B33C4">
            <w:pPr>
              <w:spacing w:line="360" w:lineRule="auto"/>
              <w:rPr>
                <w:rFonts w:ascii="Times New Roman" w:hAnsi="Times New Roman" w:cs="Times New Roman"/>
                <w:b/>
                <w:bCs/>
              </w:rPr>
            </w:pPr>
            <w:r w:rsidRPr="00B13A25">
              <w:rPr>
                <w:rFonts w:ascii="Times New Roman" w:hAnsi="Times New Roman" w:cs="Times New Roman"/>
                <w:b/>
                <w:bCs/>
              </w:rPr>
              <w:t>Model Description</w:t>
            </w:r>
          </w:p>
        </w:tc>
        <w:tc>
          <w:tcPr>
            <w:tcW w:w="6354" w:type="dxa"/>
            <w:vAlign w:val="center"/>
          </w:tcPr>
          <w:p w14:paraId="58C65CE8" w14:textId="70AB8330" w:rsidR="00AF4234" w:rsidRPr="00B13A25" w:rsidRDefault="00AF4234" w:rsidP="002B33C4">
            <w:pPr>
              <w:spacing w:line="360" w:lineRule="auto"/>
              <w:rPr>
                <w:rFonts w:ascii="Times New Roman" w:hAnsi="Times New Roman" w:cs="Times New Roman"/>
                <w:b/>
                <w:bCs/>
              </w:rPr>
            </w:pPr>
            <w:r w:rsidRPr="00B13A25">
              <w:rPr>
                <w:rFonts w:ascii="Times New Roman" w:hAnsi="Times New Roman" w:cs="Times New Roman"/>
                <w:b/>
                <w:bCs/>
              </w:rPr>
              <w:t>Model Formula</w:t>
            </w:r>
            <w:r w:rsidR="00186B3C">
              <w:rPr>
                <w:rStyle w:val="FootnoteReference"/>
                <w:rFonts w:ascii="Times New Roman" w:hAnsi="Times New Roman" w:cs="Times New Roman"/>
                <w:b/>
                <w:bCs/>
              </w:rPr>
              <w:footnoteReference w:id="2"/>
            </w:r>
          </w:p>
        </w:tc>
      </w:tr>
      <w:tr w:rsidR="00AF4234" w:rsidRPr="00B13A25" w14:paraId="49B968A3" w14:textId="77777777" w:rsidTr="006952DD">
        <w:trPr>
          <w:trHeight w:val="227"/>
        </w:trPr>
        <w:tc>
          <w:tcPr>
            <w:tcW w:w="3397" w:type="dxa"/>
            <w:vAlign w:val="center"/>
          </w:tcPr>
          <w:p w14:paraId="569E9761" w14:textId="77777777" w:rsidR="00AF4234" w:rsidRPr="00B13A25" w:rsidRDefault="00AF4234" w:rsidP="002B33C4">
            <w:pPr>
              <w:spacing w:line="360" w:lineRule="auto"/>
              <w:rPr>
                <w:rFonts w:ascii="Times New Roman" w:hAnsi="Times New Roman" w:cs="Times New Roman"/>
              </w:rPr>
            </w:pPr>
            <w:r w:rsidRPr="00B13A25">
              <w:rPr>
                <w:rFonts w:ascii="Times New Roman" w:hAnsi="Times New Roman" w:cs="Times New Roman"/>
              </w:rPr>
              <w:t>Model 1 - Pooled OLS with core variables</w:t>
            </w:r>
          </w:p>
        </w:tc>
        <w:tc>
          <w:tcPr>
            <w:tcW w:w="6354" w:type="dxa"/>
            <w:vAlign w:val="center"/>
          </w:tcPr>
          <w:p w14:paraId="1D2258E7" w14:textId="77777777" w:rsidR="00AF4234" w:rsidRPr="00B13A25" w:rsidRDefault="00AF4234" w:rsidP="002B33C4">
            <w:pPr>
              <w:spacing w:line="360" w:lineRule="auto"/>
              <w:rPr>
                <w:rFonts w:ascii="Times New Roman" w:hAnsi="Times New Roman" w:cs="Times New Roman"/>
              </w:rPr>
            </w:pPr>
            <w:r w:rsidRPr="00B13A25">
              <w:rPr>
                <w:rFonts w:ascii="Times New Roman" w:hAnsi="Times New Roman" w:cs="Times New Roman"/>
              </w:rPr>
              <w:t>rgdpo.pop = B</w:t>
            </w:r>
            <w:r w:rsidRPr="00B13A25">
              <w:rPr>
                <w:rFonts w:ascii="Times New Roman" w:hAnsi="Times New Roman" w:cs="Times New Roman"/>
                <w:vertAlign w:val="subscript"/>
              </w:rPr>
              <w:t>0</w:t>
            </w:r>
            <w:r w:rsidRPr="00B13A25">
              <w:rPr>
                <w:rFonts w:ascii="Times New Roman" w:hAnsi="Times New Roman" w:cs="Times New Roman"/>
              </w:rPr>
              <w:t xml:space="preserve"> + B</w:t>
            </w:r>
            <w:r w:rsidRPr="00B13A25">
              <w:rPr>
                <w:rFonts w:ascii="Times New Roman" w:hAnsi="Times New Roman" w:cs="Times New Roman"/>
                <w:vertAlign w:val="subscript"/>
              </w:rPr>
              <w:t>1</w:t>
            </w:r>
            <w:r w:rsidRPr="00B13A25">
              <w:rPr>
                <w:rFonts w:ascii="Times New Roman" w:hAnsi="Times New Roman" w:cs="Times New Roman"/>
              </w:rPr>
              <w:t>·year</w:t>
            </w:r>
            <w:r w:rsidRPr="00B13A25">
              <w:rPr>
                <w:rFonts w:ascii="Times New Roman" w:hAnsi="Times New Roman" w:cs="Times New Roman"/>
                <w:vertAlign w:val="subscript"/>
              </w:rPr>
              <w:t>orig</w:t>
            </w:r>
            <w:r w:rsidRPr="00B13A25">
              <w:rPr>
                <w:rFonts w:ascii="Times New Roman" w:hAnsi="Times New Roman" w:cs="Times New Roman"/>
              </w:rPr>
              <w:t xml:space="preserve"> + B</w:t>
            </w:r>
            <w:r w:rsidRPr="00B13A25">
              <w:rPr>
                <w:rFonts w:ascii="Times New Roman" w:hAnsi="Times New Roman" w:cs="Times New Roman"/>
                <w:vertAlign w:val="subscript"/>
              </w:rPr>
              <w:t>2</w:t>
            </w:r>
            <w:r w:rsidRPr="00B13A25">
              <w:rPr>
                <w:rFonts w:ascii="Times New Roman" w:hAnsi="Times New Roman" w:cs="Times New Roman"/>
              </w:rPr>
              <w:t>·yrs</w:t>
            </w:r>
            <w:r w:rsidRPr="00B13A25">
              <w:rPr>
                <w:rFonts w:ascii="Times New Roman" w:hAnsi="Times New Roman" w:cs="Times New Roman"/>
                <w:vertAlign w:val="subscript"/>
              </w:rPr>
              <w:t>sch</w:t>
            </w:r>
            <w:r w:rsidRPr="00B13A25">
              <w:rPr>
                <w:rFonts w:ascii="Times New Roman" w:hAnsi="Times New Roman" w:cs="Times New Roman"/>
              </w:rPr>
              <w:t xml:space="preserve"> + B</w:t>
            </w:r>
            <w:r w:rsidRPr="00B13A25">
              <w:rPr>
                <w:rFonts w:ascii="Times New Roman" w:hAnsi="Times New Roman" w:cs="Times New Roman"/>
                <w:vertAlign w:val="subscript"/>
              </w:rPr>
              <w:t>3</w:t>
            </w:r>
            <w:r w:rsidRPr="00B13A25">
              <w:rPr>
                <w:rFonts w:ascii="Times New Roman" w:hAnsi="Times New Roman" w:cs="Times New Roman"/>
              </w:rPr>
              <w:t xml:space="preserve">·voc + </w:t>
            </w:r>
            <m:oMath>
              <m:r>
                <w:rPr>
                  <w:rFonts w:ascii="Cambria Math" w:hAnsi="Cambria Math" w:cs="Times New Roman"/>
                </w:rPr>
                <m:t>ε</m:t>
              </m:r>
            </m:oMath>
          </w:p>
        </w:tc>
      </w:tr>
      <w:tr w:rsidR="00AF4234" w:rsidRPr="00B13A25" w14:paraId="21B03721" w14:textId="77777777" w:rsidTr="006952DD">
        <w:trPr>
          <w:trHeight w:val="227"/>
        </w:trPr>
        <w:tc>
          <w:tcPr>
            <w:tcW w:w="3397" w:type="dxa"/>
            <w:vAlign w:val="center"/>
          </w:tcPr>
          <w:p w14:paraId="68F0236F" w14:textId="77777777" w:rsidR="00AF4234" w:rsidRPr="00B13A25" w:rsidRDefault="00AF4234" w:rsidP="002B33C4">
            <w:pPr>
              <w:spacing w:line="360" w:lineRule="auto"/>
              <w:rPr>
                <w:rFonts w:ascii="Times New Roman" w:hAnsi="Times New Roman" w:cs="Times New Roman"/>
              </w:rPr>
            </w:pPr>
            <w:r w:rsidRPr="00B13A25">
              <w:rPr>
                <w:rFonts w:ascii="Times New Roman" w:hAnsi="Times New Roman" w:cs="Times New Roman"/>
              </w:rPr>
              <w:t>Model 2 - Pooled OLS with core variables and ctfp</w:t>
            </w:r>
          </w:p>
        </w:tc>
        <w:tc>
          <w:tcPr>
            <w:tcW w:w="6354" w:type="dxa"/>
            <w:vAlign w:val="center"/>
          </w:tcPr>
          <w:p w14:paraId="5F8C3A94" w14:textId="77777777" w:rsidR="00AF4234" w:rsidRPr="00B13A25" w:rsidRDefault="00AF4234" w:rsidP="002B33C4">
            <w:pPr>
              <w:spacing w:line="360" w:lineRule="auto"/>
              <w:rPr>
                <w:rFonts w:ascii="Times New Roman" w:hAnsi="Times New Roman" w:cs="Times New Roman"/>
              </w:rPr>
            </w:pPr>
            <w:r w:rsidRPr="00B13A25">
              <w:rPr>
                <w:rFonts w:ascii="Times New Roman" w:hAnsi="Times New Roman" w:cs="Times New Roman"/>
              </w:rPr>
              <w:t>rgdpo.pop = B</w:t>
            </w:r>
            <w:r w:rsidRPr="00B13A25">
              <w:rPr>
                <w:rFonts w:ascii="Times New Roman" w:hAnsi="Times New Roman" w:cs="Times New Roman"/>
                <w:vertAlign w:val="subscript"/>
              </w:rPr>
              <w:t>0</w:t>
            </w:r>
            <w:r w:rsidRPr="00B13A25">
              <w:rPr>
                <w:rFonts w:ascii="Times New Roman" w:hAnsi="Times New Roman" w:cs="Times New Roman"/>
              </w:rPr>
              <w:t xml:space="preserve"> + B</w:t>
            </w:r>
            <w:r w:rsidRPr="00B13A25">
              <w:rPr>
                <w:rFonts w:ascii="Times New Roman" w:hAnsi="Times New Roman" w:cs="Times New Roman"/>
                <w:vertAlign w:val="subscript"/>
              </w:rPr>
              <w:t>1</w:t>
            </w:r>
            <w:r w:rsidRPr="00B13A25">
              <w:rPr>
                <w:rFonts w:ascii="Times New Roman" w:hAnsi="Times New Roman" w:cs="Times New Roman"/>
              </w:rPr>
              <w:t>·year</w:t>
            </w:r>
            <w:r w:rsidRPr="00B13A25">
              <w:rPr>
                <w:rFonts w:ascii="Times New Roman" w:hAnsi="Times New Roman" w:cs="Times New Roman"/>
                <w:vertAlign w:val="subscript"/>
              </w:rPr>
              <w:t>orig</w:t>
            </w:r>
            <w:r w:rsidRPr="00B13A25">
              <w:rPr>
                <w:rFonts w:ascii="Times New Roman" w:hAnsi="Times New Roman" w:cs="Times New Roman"/>
              </w:rPr>
              <w:t xml:space="preserve"> + B</w:t>
            </w:r>
            <w:r w:rsidRPr="00B13A25">
              <w:rPr>
                <w:rFonts w:ascii="Times New Roman" w:hAnsi="Times New Roman" w:cs="Times New Roman"/>
                <w:vertAlign w:val="subscript"/>
              </w:rPr>
              <w:t>2</w:t>
            </w:r>
            <w:r w:rsidRPr="00B13A25">
              <w:rPr>
                <w:rFonts w:ascii="Times New Roman" w:hAnsi="Times New Roman" w:cs="Times New Roman"/>
              </w:rPr>
              <w:t>·yrs</w:t>
            </w:r>
            <w:r w:rsidRPr="00B13A25">
              <w:rPr>
                <w:rFonts w:ascii="Times New Roman" w:hAnsi="Times New Roman" w:cs="Times New Roman"/>
                <w:vertAlign w:val="subscript"/>
              </w:rPr>
              <w:t>sch</w:t>
            </w:r>
            <w:r w:rsidRPr="00B13A25">
              <w:rPr>
                <w:rFonts w:ascii="Times New Roman" w:hAnsi="Times New Roman" w:cs="Times New Roman"/>
              </w:rPr>
              <w:t xml:space="preserve"> + B</w:t>
            </w:r>
            <w:r w:rsidRPr="00B13A25">
              <w:rPr>
                <w:rFonts w:ascii="Times New Roman" w:hAnsi="Times New Roman" w:cs="Times New Roman"/>
                <w:vertAlign w:val="subscript"/>
              </w:rPr>
              <w:t>3</w:t>
            </w:r>
            <w:r w:rsidRPr="00B13A25">
              <w:rPr>
                <w:rFonts w:ascii="Times New Roman" w:hAnsi="Times New Roman" w:cs="Times New Roman"/>
              </w:rPr>
              <w:t>·voc + B</w:t>
            </w:r>
            <w:r w:rsidRPr="00B13A25">
              <w:rPr>
                <w:rFonts w:ascii="Times New Roman" w:hAnsi="Times New Roman" w:cs="Times New Roman"/>
                <w:vertAlign w:val="subscript"/>
              </w:rPr>
              <w:t>4</w:t>
            </w:r>
            <w:r w:rsidRPr="00B13A25">
              <w:rPr>
                <w:rFonts w:ascii="Times New Roman" w:hAnsi="Times New Roman" w:cs="Times New Roman"/>
              </w:rPr>
              <w:t xml:space="preserve">·ctfp + </w:t>
            </w:r>
            <m:oMath>
              <m:r>
                <w:rPr>
                  <w:rFonts w:ascii="Cambria Math" w:hAnsi="Cambria Math" w:cs="Times New Roman"/>
                </w:rPr>
                <m:t>ε</m:t>
              </m:r>
            </m:oMath>
          </w:p>
        </w:tc>
      </w:tr>
      <w:tr w:rsidR="00AF4234" w:rsidRPr="00B13A25" w14:paraId="37D21903" w14:textId="77777777" w:rsidTr="006952DD">
        <w:trPr>
          <w:trHeight w:val="227"/>
        </w:trPr>
        <w:tc>
          <w:tcPr>
            <w:tcW w:w="3397" w:type="dxa"/>
            <w:vAlign w:val="center"/>
          </w:tcPr>
          <w:p w14:paraId="003FAE08" w14:textId="77777777" w:rsidR="00AF4234" w:rsidRPr="00B13A25" w:rsidRDefault="00AF4234" w:rsidP="002B33C4">
            <w:pPr>
              <w:spacing w:line="360" w:lineRule="auto"/>
              <w:rPr>
                <w:rFonts w:ascii="Times New Roman" w:hAnsi="Times New Roman" w:cs="Times New Roman"/>
              </w:rPr>
            </w:pPr>
            <w:r w:rsidRPr="00B13A25">
              <w:rPr>
                <w:rFonts w:ascii="Times New Roman" w:hAnsi="Times New Roman" w:cs="Times New Roman"/>
              </w:rPr>
              <w:t>Model 3 - Pooled OLS with log core variables, but share of vocational students squared</w:t>
            </w:r>
          </w:p>
        </w:tc>
        <w:tc>
          <w:tcPr>
            <w:tcW w:w="6354" w:type="dxa"/>
            <w:vAlign w:val="center"/>
          </w:tcPr>
          <w:p w14:paraId="04D34386" w14:textId="57909E86" w:rsidR="00AF4234" w:rsidRPr="00B13A25" w:rsidRDefault="00AF4234" w:rsidP="002B33C4">
            <w:pPr>
              <w:spacing w:line="360" w:lineRule="auto"/>
              <w:rPr>
                <w:rFonts w:ascii="Times New Roman" w:hAnsi="Times New Roman" w:cs="Times New Roman"/>
              </w:rPr>
            </w:pPr>
            <w:r w:rsidRPr="00B13A25">
              <w:rPr>
                <w:rFonts w:ascii="Times New Roman" w:hAnsi="Times New Roman" w:cs="Times New Roman"/>
              </w:rPr>
              <w:t>ln(rgdpo.pop.roll) = B</w:t>
            </w:r>
            <w:r w:rsidRPr="00B13A25">
              <w:rPr>
                <w:rFonts w:ascii="Times New Roman" w:hAnsi="Times New Roman" w:cs="Times New Roman"/>
                <w:vertAlign w:val="subscript"/>
              </w:rPr>
              <w:t>0</w:t>
            </w:r>
            <w:r w:rsidRPr="00B13A25">
              <w:rPr>
                <w:rFonts w:ascii="Times New Roman" w:hAnsi="Times New Roman" w:cs="Times New Roman"/>
              </w:rPr>
              <w:t xml:space="preserve"> + B</w:t>
            </w:r>
            <w:r w:rsidRPr="00B13A25">
              <w:rPr>
                <w:rFonts w:ascii="Times New Roman" w:hAnsi="Times New Roman" w:cs="Times New Roman"/>
                <w:vertAlign w:val="subscript"/>
              </w:rPr>
              <w:t>1</w:t>
            </w:r>
            <w:r w:rsidRPr="00B13A25">
              <w:rPr>
                <w:rFonts w:ascii="Times New Roman" w:hAnsi="Times New Roman" w:cs="Times New Roman"/>
              </w:rPr>
              <w:t>·ln(year</w:t>
            </w:r>
            <w:r w:rsidRPr="00B13A25">
              <w:rPr>
                <w:rFonts w:ascii="Times New Roman" w:hAnsi="Times New Roman" w:cs="Times New Roman"/>
                <w:vertAlign w:val="subscript"/>
              </w:rPr>
              <w:t>orig</w:t>
            </w:r>
            <w:r w:rsidRPr="00B13A25">
              <w:rPr>
                <w:rFonts w:ascii="Times New Roman" w:hAnsi="Times New Roman" w:cs="Times New Roman"/>
              </w:rPr>
              <w:t>) + B</w:t>
            </w:r>
            <w:r w:rsidRPr="00B13A25">
              <w:rPr>
                <w:rFonts w:ascii="Times New Roman" w:hAnsi="Times New Roman" w:cs="Times New Roman"/>
                <w:vertAlign w:val="subscript"/>
              </w:rPr>
              <w:t>2</w:t>
            </w:r>
            <w:r w:rsidRPr="00B13A25">
              <w:rPr>
                <w:rFonts w:ascii="Times New Roman" w:hAnsi="Times New Roman" w:cs="Times New Roman"/>
              </w:rPr>
              <w:t>·ln(yrs</w:t>
            </w:r>
            <w:r w:rsidRPr="00B13A25">
              <w:rPr>
                <w:rFonts w:ascii="Times New Roman" w:hAnsi="Times New Roman" w:cs="Times New Roman"/>
                <w:vertAlign w:val="subscript"/>
              </w:rPr>
              <w:t>sch</w:t>
            </w:r>
            <w:r w:rsidRPr="00B13A25">
              <w:rPr>
                <w:rFonts w:ascii="Times New Roman" w:hAnsi="Times New Roman" w:cs="Times New Roman"/>
              </w:rPr>
              <w:t>) + B</w:t>
            </w:r>
            <w:r w:rsidRPr="00B13A25">
              <w:rPr>
                <w:rFonts w:ascii="Times New Roman" w:hAnsi="Times New Roman" w:cs="Times New Roman"/>
                <w:vertAlign w:val="subscript"/>
              </w:rPr>
              <w:t>3</w:t>
            </w:r>
            <w:r w:rsidRPr="00B13A25">
              <w:rPr>
                <w:rFonts w:ascii="Times New Roman" w:hAnsi="Times New Roman" w:cs="Times New Roman"/>
              </w:rPr>
              <w:t>·voc</w:t>
            </w:r>
            <w:r w:rsidRPr="00B13A25">
              <w:rPr>
                <w:rFonts w:ascii="Times New Roman" w:hAnsi="Times New Roman" w:cs="Times New Roman"/>
                <w:vertAlign w:val="subscript"/>
              </w:rPr>
              <w:t>pc</w:t>
            </w:r>
            <w:r w:rsidRPr="00B13A25">
              <w:rPr>
                <w:rFonts w:ascii="Times New Roman" w:hAnsi="Times New Roman" w:cs="Times New Roman"/>
                <w:vertAlign w:val="superscript"/>
              </w:rPr>
              <w:t>2</w:t>
            </w:r>
            <w:r w:rsidRPr="00B13A25">
              <w:rPr>
                <w:rFonts w:ascii="Times New Roman" w:hAnsi="Times New Roman" w:cs="Times New Roman"/>
              </w:rPr>
              <w:t xml:space="preserve"> +</w:t>
            </w:r>
            <w:r w:rsidR="00B13A25" w:rsidRPr="00B13A25">
              <w:rPr>
                <w:rFonts w:ascii="Times New Roman" w:hAnsi="Times New Roman" w:cs="Times New Roman"/>
              </w:rPr>
              <w:t xml:space="preserve"> </w:t>
            </w:r>
            <w:r w:rsidRPr="00B13A25">
              <w:rPr>
                <w:rFonts w:ascii="Times New Roman" w:hAnsi="Times New Roman" w:cs="Times New Roman"/>
              </w:rPr>
              <w:t>B</w:t>
            </w:r>
            <w:r w:rsidRPr="00B13A25">
              <w:rPr>
                <w:rFonts w:ascii="Times New Roman" w:hAnsi="Times New Roman" w:cs="Times New Roman"/>
                <w:vertAlign w:val="subscript"/>
              </w:rPr>
              <w:t>4</w:t>
            </w:r>
            <w:r w:rsidRPr="00B13A25">
              <w:rPr>
                <w:rFonts w:ascii="Times New Roman" w:hAnsi="Times New Roman" w:cs="Times New Roman"/>
              </w:rPr>
              <w:t xml:space="preserve">·ln(ctfp) + </w:t>
            </w:r>
            <m:oMath>
              <m:r>
                <w:rPr>
                  <w:rFonts w:ascii="Cambria Math" w:hAnsi="Cambria Math" w:cs="Times New Roman"/>
                </w:rPr>
                <m:t>ε</m:t>
              </m:r>
            </m:oMath>
          </w:p>
        </w:tc>
      </w:tr>
      <w:tr w:rsidR="00AF4234" w:rsidRPr="00B13A25" w14:paraId="56E3DA3F" w14:textId="77777777" w:rsidTr="006952DD">
        <w:trPr>
          <w:trHeight w:val="227"/>
        </w:trPr>
        <w:tc>
          <w:tcPr>
            <w:tcW w:w="3397" w:type="dxa"/>
            <w:vAlign w:val="center"/>
          </w:tcPr>
          <w:p w14:paraId="12165DD0" w14:textId="77777777" w:rsidR="00AF4234" w:rsidRPr="00B13A25" w:rsidRDefault="00AF4234" w:rsidP="002B33C4">
            <w:pPr>
              <w:spacing w:line="360" w:lineRule="auto"/>
              <w:rPr>
                <w:rFonts w:ascii="Times New Roman" w:hAnsi="Times New Roman" w:cs="Times New Roman"/>
              </w:rPr>
            </w:pPr>
            <w:r w:rsidRPr="00B13A25">
              <w:rPr>
                <w:rFonts w:ascii="Times New Roman" w:hAnsi="Times New Roman" w:cs="Times New Roman"/>
              </w:rPr>
              <w:t>Model 4 - Pooled OLS with all variables in log form</w:t>
            </w:r>
          </w:p>
        </w:tc>
        <w:tc>
          <w:tcPr>
            <w:tcW w:w="6354" w:type="dxa"/>
            <w:vAlign w:val="center"/>
          </w:tcPr>
          <w:p w14:paraId="152566C2" w14:textId="72CE4BD1" w:rsidR="00AF4234" w:rsidRPr="00B13A25" w:rsidRDefault="00AF4234" w:rsidP="002B33C4">
            <w:pPr>
              <w:autoSpaceDE w:val="0"/>
              <w:autoSpaceDN w:val="0"/>
              <w:adjustRightInd w:val="0"/>
              <w:spacing w:line="360" w:lineRule="auto"/>
              <w:rPr>
                <w:rFonts w:ascii="Times New Roman" w:hAnsi="Times New Roman" w:cs="Times New Roman"/>
              </w:rPr>
            </w:pPr>
            <w:r w:rsidRPr="00B13A25">
              <w:rPr>
                <w:rFonts w:ascii="Times New Roman" w:hAnsi="Times New Roman" w:cs="Times New Roman"/>
              </w:rPr>
              <w:t>ln(rgdpo.pop.roll) = B</w:t>
            </w:r>
            <w:r w:rsidRPr="00B13A25">
              <w:rPr>
                <w:rFonts w:ascii="Times New Roman" w:hAnsi="Times New Roman" w:cs="Times New Roman"/>
                <w:vertAlign w:val="subscript"/>
              </w:rPr>
              <w:t>0</w:t>
            </w:r>
            <w:r w:rsidRPr="00B13A25">
              <w:rPr>
                <w:rFonts w:ascii="Times New Roman" w:hAnsi="Times New Roman" w:cs="Times New Roman"/>
              </w:rPr>
              <w:t xml:space="preserve"> + B</w:t>
            </w:r>
            <w:r w:rsidRPr="00B13A25">
              <w:rPr>
                <w:rFonts w:ascii="Times New Roman" w:hAnsi="Times New Roman" w:cs="Times New Roman"/>
                <w:vertAlign w:val="subscript"/>
              </w:rPr>
              <w:t>1</w:t>
            </w:r>
            <w:r w:rsidRPr="00B13A25">
              <w:rPr>
                <w:rFonts w:ascii="Times New Roman" w:hAnsi="Times New Roman" w:cs="Times New Roman"/>
              </w:rPr>
              <w:t>·ln(year</w:t>
            </w:r>
            <w:r w:rsidRPr="00B13A25">
              <w:rPr>
                <w:rFonts w:ascii="Times New Roman" w:hAnsi="Times New Roman" w:cs="Times New Roman"/>
                <w:vertAlign w:val="subscript"/>
              </w:rPr>
              <w:t>orig</w:t>
            </w:r>
            <w:r w:rsidRPr="00B13A25">
              <w:rPr>
                <w:rFonts w:ascii="Times New Roman" w:hAnsi="Times New Roman" w:cs="Times New Roman"/>
              </w:rPr>
              <w:t>) + B</w:t>
            </w:r>
            <w:r w:rsidRPr="00B13A25">
              <w:rPr>
                <w:rFonts w:ascii="Times New Roman" w:hAnsi="Times New Roman" w:cs="Times New Roman"/>
                <w:vertAlign w:val="subscript"/>
              </w:rPr>
              <w:t>2</w:t>
            </w:r>
            <w:r w:rsidRPr="00B13A25">
              <w:rPr>
                <w:rFonts w:ascii="Times New Roman" w:hAnsi="Times New Roman" w:cs="Times New Roman"/>
              </w:rPr>
              <w:t>·ln(yrs</w:t>
            </w:r>
            <w:r w:rsidRPr="00B13A25">
              <w:rPr>
                <w:rFonts w:ascii="Times New Roman" w:hAnsi="Times New Roman" w:cs="Times New Roman"/>
                <w:vertAlign w:val="subscript"/>
              </w:rPr>
              <w:t>sch</w:t>
            </w:r>
            <w:r w:rsidRPr="00B13A25">
              <w:rPr>
                <w:rFonts w:ascii="Times New Roman" w:hAnsi="Times New Roman" w:cs="Times New Roman"/>
              </w:rPr>
              <w:t>) + B</w:t>
            </w:r>
            <w:r w:rsidRPr="00B13A25">
              <w:rPr>
                <w:rFonts w:ascii="Times New Roman" w:hAnsi="Times New Roman" w:cs="Times New Roman"/>
                <w:vertAlign w:val="subscript"/>
              </w:rPr>
              <w:t>3</w:t>
            </w:r>
            <w:r w:rsidRPr="00B13A25">
              <w:rPr>
                <w:rFonts w:ascii="Times New Roman" w:hAnsi="Times New Roman" w:cs="Times New Roman"/>
              </w:rPr>
              <w:t>·ln(voc</w:t>
            </w:r>
            <w:r w:rsidRPr="00B13A25">
              <w:rPr>
                <w:rFonts w:ascii="Times New Roman" w:hAnsi="Times New Roman" w:cs="Times New Roman"/>
                <w:vertAlign w:val="subscript"/>
              </w:rPr>
              <w:t>pc</w:t>
            </w:r>
            <w:r w:rsidRPr="00B13A25">
              <w:rPr>
                <w:rFonts w:ascii="Times New Roman" w:hAnsi="Times New Roman" w:cs="Times New Roman"/>
              </w:rPr>
              <w:t>) +</w:t>
            </w:r>
            <w:r w:rsidR="00B13A25" w:rsidRPr="00B13A25">
              <w:rPr>
                <w:rFonts w:ascii="Times New Roman" w:hAnsi="Times New Roman" w:cs="Times New Roman"/>
              </w:rPr>
              <w:t xml:space="preserve"> </w:t>
            </w:r>
            <w:r w:rsidRPr="00B13A25">
              <w:rPr>
                <w:rFonts w:ascii="Times New Roman" w:hAnsi="Times New Roman" w:cs="Times New Roman"/>
              </w:rPr>
              <w:t>B</w:t>
            </w:r>
            <w:r w:rsidRPr="00B13A25">
              <w:rPr>
                <w:rFonts w:ascii="Times New Roman" w:hAnsi="Times New Roman" w:cs="Times New Roman"/>
                <w:vertAlign w:val="subscript"/>
              </w:rPr>
              <w:t>4</w:t>
            </w:r>
            <w:r w:rsidRPr="00B13A25">
              <w:rPr>
                <w:rFonts w:ascii="Times New Roman" w:hAnsi="Times New Roman" w:cs="Times New Roman"/>
              </w:rPr>
              <w:t xml:space="preserve">·ln(ctfp) + </w:t>
            </w:r>
            <m:oMath>
              <m:r>
                <w:rPr>
                  <w:rFonts w:ascii="Cambria Math" w:hAnsi="Cambria Math" w:cs="Times New Roman"/>
                </w:rPr>
                <m:t>ε</m:t>
              </m:r>
            </m:oMath>
          </w:p>
        </w:tc>
      </w:tr>
      <w:tr w:rsidR="00AF4234" w:rsidRPr="00B13A25" w14:paraId="3FE50FC5" w14:textId="77777777" w:rsidTr="006952DD">
        <w:trPr>
          <w:trHeight w:val="227"/>
        </w:trPr>
        <w:tc>
          <w:tcPr>
            <w:tcW w:w="3397" w:type="dxa"/>
            <w:vAlign w:val="center"/>
          </w:tcPr>
          <w:p w14:paraId="7E387E72" w14:textId="77777777" w:rsidR="00AF4234" w:rsidRPr="00B13A25" w:rsidRDefault="00AF4234" w:rsidP="002B33C4">
            <w:pPr>
              <w:spacing w:line="360" w:lineRule="auto"/>
              <w:rPr>
                <w:rFonts w:ascii="Times New Roman" w:hAnsi="Times New Roman" w:cs="Times New Roman"/>
              </w:rPr>
            </w:pPr>
            <w:r w:rsidRPr="00B13A25">
              <w:rPr>
                <w:rFonts w:ascii="Times New Roman" w:hAnsi="Times New Roman" w:cs="Times New Roman"/>
              </w:rPr>
              <w:t>Model 5 - Pooled OLS regression model, with all variables in log form and a dummy variable for 2010</w:t>
            </w:r>
          </w:p>
        </w:tc>
        <w:tc>
          <w:tcPr>
            <w:tcW w:w="6354" w:type="dxa"/>
            <w:vAlign w:val="center"/>
          </w:tcPr>
          <w:p w14:paraId="3D5D5079" w14:textId="18C8D88A" w:rsidR="00AF4234" w:rsidRPr="00B13A25" w:rsidRDefault="00AF4234" w:rsidP="002B33C4">
            <w:pPr>
              <w:autoSpaceDE w:val="0"/>
              <w:autoSpaceDN w:val="0"/>
              <w:adjustRightInd w:val="0"/>
              <w:spacing w:line="360" w:lineRule="auto"/>
              <w:rPr>
                <w:rFonts w:ascii="Times New Roman" w:hAnsi="Times New Roman" w:cs="Times New Roman"/>
              </w:rPr>
            </w:pPr>
            <w:r w:rsidRPr="00B13A25">
              <w:rPr>
                <w:rFonts w:ascii="Times New Roman" w:hAnsi="Times New Roman" w:cs="Times New Roman"/>
              </w:rPr>
              <w:t>ln(rgdpo.pop.roll) = B</w:t>
            </w:r>
            <w:r w:rsidRPr="00B13A25">
              <w:rPr>
                <w:rFonts w:ascii="Times New Roman" w:hAnsi="Times New Roman" w:cs="Times New Roman"/>
                <w:vertAlign w:val="subscript"/>
              </w:rPr>
              <w:t>0</w:t>
            </w:r>
            <w:r w:rsidRPr="00B13A25">
              <w:rPr>
                <w:rFonts w:ascii="Times New Roman" w:hAnsi="Times New Roman" w:cs="Times New Roman"/>
              </w:rPr>
              <w:t xml:space="preserve"> + B</w:t>
            </w:r>
            <w:r w:rsidRPr="00B13A25">
              <w:rPr>
                <w:rFonts w:ascii="Times New Roman" w:hAnsi="Times New Roman" w:cs="Times New Roman"/>
                <w:vertAlign w:val="subscript"/>
              </w:rPr>
              <w:t>1</w:t>
            </w:r>
            <w:r w:rsidRPr="00B13A25">
              <w:rPr>
                <w:rFonts w:ascii="Times New Roman" w:hAnsi="Times New Roman" w:cs="Times New Roman"/>
              </w:rPr>
              <w:t>·ln(year</w:t>
            </w:r>
            <w:r w:rsidRPr="00B13A25">
              <w:rPr>
                <w:rFonts w:ascii="Times New Roman" w:hAnsi="Times New Roman" w:cs="Times New Roman"/>
                <w:vertAlign w:val="subscript"/>
              </w:rPr>
              <w:t>orig</w:t>
            </w:r>
            <w:r w:rsidRPr="00B13A25">
              <w:rPr>
                <w:rFonts w:ascii="Times New Roman" w:hAnsi="Times New Roman" w:cs="Times New Roman"/>
              </w:rPr>
              <w:t>) + B</w:t>
            </w:r>
            <w:r w:rsidRPr="00B13A25">
              <w:rPr>
                <w:rFonts w:ascii="Times New Roman" w:hAnsi="Times New Roman" w:cs="Times New Roman"/>
                <w:vertAlign w:val="subscript"/>
              </w:rPr>
              <w:t>2</w:t>
            </w:r>
            <w:r w:rsidRPr="00B13A25">
              <w:rPr>
                <w:rFonts w:ascii="Times New Roman" w:hAnsi="Times New Roman" w:cs="Times New Roman"/>
              </w:rPr>
              <w:t>·ln(yrs</w:t>
            </w:r>
            <w:r w:rsidRPr="00B13A25">
              <w:rPr>
                <w:rFonts w:ascii="Times New Roman" w:hAnsi="Times New Roman" w:cs="Times New Roman"/>
                <w:vertAlign w:val="subscript"/>
              </w:rPr>
              <w:t>sch</w:t>
            </w:r>
            <w:r w:rsidRPr="00B13A25">
              <w:rPr>
                <w:rFonts w:ascii="Times New Roman" w:hAnsi="Times New Roman" w:cs="Times New Roman"/>
              </w:rPr>
              <w:t>) + B</w:t>
            </w:r>
            <w:r w:rsidRPr="00B13A25">
              <w:rPr>
                <w:rFonts w:ascii="Times New Roman" w:hAnsi="Times New Roman" w:cs="Times New Roman"/>
                <w:vertAlign w:val="subscript"/>
              </w:rPr>
              <w:t>3</w:t>
            </w:r>
            <w:r w:rsidRPr="00B13A25">
              <w:rPr>
                <w:rFonts w:ascii="Times New Roman" w:hAnsi="Times New Roman" w:cs="Times New Roman"/>
              </w:rPr>
              <w:t>·ln(voc</w:t>
            </w:r>
            <w:r w:rsidRPr="00B13A25">
              <w:rPr>
                <w:rFonts w:ascii="Times New Roman" w:hAnsi="Times New Roman" w:cs="Times New Roman"/>
                <w:vertAlign w:val="subscript"/>
              </w:rPr>
              <w:t>pc</w:t>
            </w:r>
            <w:r w:rsidRPr="00B13A25">
              <w:rPr>
                <w:rFonts w:ascii="Times New Roman" w:hAnsi="Times New Roman" w:cs="Times New Roman"/>
              </w:rPr>
              <w:t>) +</w:t>
            </w:r>
            <w:r w:rsidR="00B13A25" w:rsidRPr="00B13A25">
              <w:rPr>
                <w:rFonts w:ascii="Times New Roman" w:hAnsi="Times New Roman" w:cs="Times New Roman"/>
              </w:rPr>
              <w:t xml:space="preserve"> </w:t>
            </w:r>
            <w:r w:rsidRPr="00B13A25">
              <w:rPr>
                <w:rFonts w:ascii="Times New Roman" w:hAnsi="Times New Roman" w:cs="Times New Roman"/>
              </w:rPr>
              <w:t>B</w:t>
            </w:r>
            <w:r w:rsidRPr="00B13A25">
              <w:rPr>
                <w:rFonts w:ascii="Times New Roman" w:hAnsi="Times New Roman" w:cs="Times New Roman"/>
                <w:vertAlign w:val="subscript"/>
              </w:rPr>
              <w:t>4</w:t>
            </w:r>
            <w:r w:rsidRPr="00B13A25">
              <w:rPr>
                <w:rFonts w:ascii="Times New Roman" w:hAnsi="Times New Roman" w:cs="Times New Roman"/>
                <w:kern w:val="0"/>
              </w:rPr>
              <w:t xml:space="preserve">·ln(ctfp) </w:t>
            </w:r>
            <w:r w:rsidRPr="00B13A25">
              <w:rPr>
                <w:rFonts w:ascii="Times New Roman" w:hAnsi="Times New Roman" w:cs="Times New Roman"/>
              </w:rPr>
              <w:t>+ B</w:t>
            </w:r>
            <w:r w:rsidRPr="00B13A25">
              <w:rPr>
                <w:rFonts w:ascii="Times New Roman" w:hAnsi="Times New Roman" w:cs="Times New Roman"/>
                <w:vertAlign w:val="subscript"/>
              </w:rPr>
              <w:t>5</w:t>
            </w:r>
            <w:r w:rsidRPr="00B13A25">
              <w:rPr>
                <w:rFonts w:ascii="Times New Roman" w:hAnsi="Times New Roman" w:cs="Times New Roman"/>
                <w:kern w:val="0"/>
              </w:rPr>
              <w:t>· D</w:t>
            </w:r>
            <w:r w:rsidRPr="00B13A25">
              <w:rPr>
                <w:rFonts w:ascii="Times New Roman" w:hAnsi="Times New Roman" w:cs="Times New Roman"/>
                <w:kern w:val="0"/>
                <w:vertAlign w:val="subscript"/>
              </w:rPr>
              <w:t xml:space="preserve">2010 </w:t>
            </w:r>
            <w:r w:rsidRPr="00B13A25">
              <w:rPr>
                <w:rFonts w:ascii="Times New Roman" w:hAnsi="Times New Roman" w:cs="Times New Roman"/>
                <w:kern w:val="0"/>
              </w:rPr>
              <w:t xml:space="preserve">+ </w:t>
            </w:r>
            <m:oMath>
              <m:r>
                <w:rPr>
                  <w:rFonts w:ascii="Cambria Math" w:hAnsi="Cambria Math" w:cs="Times New Roman"/>
                </w:rPr>
                <m:t>ε</m:t>
              </m:r>
            </m:oMath>
          </w:p>
        </w:tc>
      </w:tr>
    </w:tbl>
    <w:p w14:paraId="519ABBED" w14:textId="77777777" w:rsidR="00AF4234" w:rsidRPr="00B13A25" w:rsidRDefault="00AF4234" w:rsidP="002B33C4">
      <w:pPr>
        <w:spacing w:line="360" w:lineRule="auto"/>
        <w:rPr>
          <w:rFonts w:eastAsiaTheme="minorEastAsia"/>
        </w:rPr>
      </w:pPr>
    </w:p>
    <w:p w14:paraId="7ECE7154" w14:textId="66A11617" w:rsidR="00AF4234" w:rsidRPr="00B13A25" w:rsidRDefault="00AF4234" w:rsidP="002B33C4">
      <w:pPr>
        <w:spacing w:line="360" w:lineRule="auto"/>
        <w:rPr>
          <w:rFonts w:eastAsiaTheme="minorEastAsia"/>
        </w:rPr>
      </w:pPr>
      <w:r w:rsidRPr="00B13A25">
        <w:rPr>
          <w:rFonts w:eastAsiaTheme="minorEastAsia"/>
        </w:rPr>
        <w:t>Ou</w:t>
      </w:r>
      <w:r w:rsidR="00835CC8">
        <w:rPr>
          <w:rFonts w:eastAsiaTheme="minorEastAsia"/>
        </w:rPr>
        <w:t>r</w:t>
      </w:r>
      <w:r w:rsidRPr="00B13A25">
        <w:rPr>
          <w:rFonts w:eastAsiaTheme="minorEastAsia"/>
        </w:rPr>
        <w:t xml:space="preserve"> first step was to consider construction of a baseline model for this analysis</w:t>
      </w:r>
      <w:r w:rsidR="00020391">
        <w:rPr>
          <w:rFonts w:eastAsiaTheme="minorEastAsia"/>
        </w:rPr>
        <w:t>, starting with</w:t>
      </w:r>
      <w:r w:rsidRPr="00B13A25">
        <w:rPr>
          <w:rFonts w:eastAsiaTheme="minorEastAsia"/>
        </w:rPr>
        <w:t xml:space="preserve"> model 1, which was a simple linear regression of rgdpo.pop against year</w:t>
      </w:r>
      <w:r w:rsidRPr="00B13A25">
        <w:rPr>
          <w:rFonts w:eastAsiaTheme="minorEastAsia"/>
          <w:vertAlign w:val="subscript"/>
        </w:rPr>
        <w:t>orig</w:t>
      </w:r>
      <w:r w:rsidRPr="00B13A25">
        <w:rPr>
          <w:rFonts w:eastAsiaTheme="minorEastAsia"/>
        </w:rPr>
        <w:t>, yrs</w:t>
      </w:r>
      <w:r w:rsidRPr="00B13A25">
        <w:rPr>
          <w:rFonts w:eastAsiaTheme="minorEastAsia"/>
          <w:vertAlign w:val="subscript"/>
        </w:rPr>
        <w:t>sch</w:t>
      </w:r>
      <w:r w:rsidRPr="00B13A25">
        <w:rPr>
          <w:rFonts w:eastAsiaTheme="minorEastAsia"/>
        </w:rPr>
        <w:t xml:space="preserve">, and voc. </w:t>
      </w:r>
      <w:r w:rsidR="00020391">
        <w:rPr>
          <w:rFonts w:eastAsiaTheme="minorEastAsia"/>
        </w:rPr>
        <w:lastRenderedPageBreak/>
        <w:t>M</w:t>
      </w:r>
      <w:r w:rsidRPr="00B13A25">
        <w:rPr>
          <w:rFonts w:eastAsiaTheme="minorEastAsia"/>
        </w:rPr>
        <w:t>odel 2</w:t>
      </w:r>
      <w:r w:rsidR="00020391">
        <w:rPr>
          <w:rFonts w:eastAsiaTheme="minorEastAsia"/>
        </w:rPr>
        <w:t xml:space="preserve"> expanded to </w:t>
      </w:r>
      <w:r w:rsidRPr="00B13A25">
        <w:rPr>
          <w:rFonts w:eastAsiaTheme="minorEastAsia"/>
        </w:rPr>
        <w:t>include the variable ctfp to account for changes in total factor productivity over time. Model 2 had a higher adjusted R</w:t>
      </w:r>
      <w:r w:rsidRPr="00B13A25">
        <w:rPr>
          <w:rFonts w:eastAsiaTheme="minorEastAsia"/>
          <w:vertAlign w:val="superscript"/>
        </w:rPr>
        <w:t>2</w:t>
      </w:r>
      <w:r w:rsidRPr="00B13A25">
        <w:rPr>
          <w:rFonts w:eastAsiaTheme="minorEastAsia"/>
        </w:rPr>
        <w:t xml:space="preserve"> value than model 1 (0.614 against 0.475), and ctfp was found to be significant at </w:t>
      </w:r>
      <w:r w:rsidRPr="00020391">
        <w:rPr>
          <w:rFonts w:eastAsiaTheme="minorEastAsia"/>
        </w:rPr>
        <w:t>the 90% significance level</w:t>
      </w:r>
      <w:r w:rsidR="00020391">
        <w:rPr>
          <w:rFonts w:eastAsiaTheme="minorEastAsia"/>
        </w:rPr>
        <w:t>. This suggests that the inclusion of ctfp might improve the model.</w:t>
      </w:r>
    </w:p>
    <w:p w14:paraId="50DE9ACD" w14:textId="091347FF" w:rsidR="00AF4234" w:rsidRPr="00B13A25" w:rsidRDefault="00A0068C" w:rsidP="002B33C4">
      <w:pPr>
        <w:spacing w:line="360" w:lineRule="auto"/>
        <w:rPr>
          <w:rFonts w:eastAsiaTheme="minorEastAsia"/>
        </w:rPr>
      </w:pPr>
      <w:r>
        <w:rPr>
          <w:rFonts w:eastAsiaTheme="minorEastAsia"/>
        </w:rPr>
        <w:t>N</w:t>
      </w:r>
      <w:r w:rsidRPr="00B13A25">
        <w:rPr>
          <w:rFonts w:eastAsiaTheme="minorEastAsia"/>
        </w:rPr>
        <w:t>ext,</w:t>
      </w:r>
      <w:r w:rsidR="00AF4234" w:rsidRPr="00B13A25">
        <w:rPr>
          <w:rFonts w:eastAsiaTheme="minorEastAsia"/>
        </w:rPr>
        <w:t xml:space="preserve"> </w:t>
      </w:r>
      <w:r>
        <w:rPr>
          <w:rFonts w:eastAsiaTheme="minorEastAsia"/>
        </w:rPr>
        <w:t xml:space="preserve">we </w:t>
      </w:r>
      <w:r w:rsidR="00AF4234" w:rsidRPr="00B13A25">
        <w:rPr>
          <w:rFonts w:eastAsiaTheme="minorEastAsia"/>
        </w:rPr>
        <w:t>examine</w:t>
      </w:r>
      <w:r>
        <w:rPr>
          <w:rFonts w:eastAsiaTheme="minorEastAsia"/>
        </w:rPr>
        <w:t>d</w:t>
      </w:r>
      <w:r w:rsidR="00AF4234" w:rsidRPr="00B13A25">
        <w:rPr>
          <w:rFonts w:eastAsiaTheme="minorEastAsia"/>
        </w:rPr>
        <w:t xml:space="preserve"> the voc variable. Although not statistically significant at the 90% </w:t>
      </w:r>
      <w:r w:rsidR="007C7973">
        <w:rPr>
          <w:rFonts w:eastAsiaTheme="minorEastAsia"/>
        </w:rPr>
        <w:t>significance</w:t>
      </w:r>
      <w:r w:rsidR="00AF4234" w:rsidRPr="00B13A25">
        <w:rPr>
          <w:rFonts w:eastAsiaTheme="minorEastAsia"/>
        </w:rPr>
        <w:t xml:space="preserve"> level, with p-values of 0.16 (model 1) and 0.19 (model 2), it was still relatively close to the </w:t>
      </w:r>
      <w:r w:rsidR="00BF168F">
        <w:rPr>
          <w:rFonts w:eastAsiaTheme="minorEastAsia"/>
        </w:rPr>
        <w:t xml:space="preserve">significance </w:t>
      </w:r>
      <w:r w:rsidR="00AF4234" w:rsidRPr="00B13A25">
        <w:rPr>
          <w:rFonts w:eastAsiaTheme="minorEastAsia"/>
        </w:rPr>
        <w:t xml:space="preserve">threshold. </w:t>
      </w:r>
      <w:r w:rsidR="00D94C88">
        <w:rPr>
          <w:rFonts w:eastAsiaTheme="minorEastAsia"/>
        </w:rPr>
        <w:t>A</w:t>
      </w:r>
      <w:r w:rsidR="00AF4234" w:rsidRPr="00B13A25">
        <w:rPr>
          <w:rFonts w:eastAsiaTheme="minorEastAsia"/>
        </w:rPr>
        <w:t xml:space="preserve">longside </w:t>
      </w:r>
      <w:r w:rsidR="00D94C88">
        <w:rPr>
          <w:rFonts w:eastAsiaTheme="minorEastAsia"/>
        </w:rPr>
        <w:t xml:space="preserve">the </w:t>
      </w:r>
      <w:r w:rsidR="00AF4234" w:rsidRPr="00B13A25">
        <w:rPr>
          <w:rFonts w:eastAsiaTheme="minorEastAsia"/>
        </w:rPr>
        <w:t xml:space="preserve">policy implications of </w:t>
      </w:r>
      <w:r w:rsidR="00D94C88">
        <w:rPr>
          <w:rFonts w:eastAsiaTheme="minorEastAsia"/>
        </w:rPr>
        <w:t xml:space="preserve">increased </w:t>
      </w:r>
      <w:r w:rsidR="00AF4234" w:rsidRPr="00B13A25">
        <w:rPr>
          <w:rFonts w:eastAsiaTheme="minorEastAsia"/>
        </w:rPr>
        <w:t xml:space="preserve">education, </w:t>
      </w:r>
      <w:r w:rsidR="00ED00F9">
        <w:rPr>
          <w:rFonts w:eastAsiaTheme="minorEastAsia"/>
        </w:rPr>
        <w:t xml:space="preserve">we continue to investigate </w:t>
      </w:r>
      <w:r w:rsidR="00AF4234" w:rsidRPr="00B13A25">
        <w:rPr>
          <w:rFonts w:eastAsiaTheme="minorEastAsia"/>
        </w:rPr>
        <w:t xml:space="preserve">the impact of vocational education. We therefore </w:t>
      </w:r>
      <w:r w:rsidR="00A225B5">
        <w:rPr>
          <w:rFonts w:eastAsiaTheme="minorEastAsia"/>
        </w:rPr>
        <w:t>switched</w:t>
      </w:r>
      <w:r w:rsidR="00AF4234" w:rsidRPr="00B13A25">
        <w:rPr>
          <w:rFonts w:eastAsiaTheme="minorEastAsia"/>
        </w:rPr>
        <w:t xml:space="preserve"> to voc</w:t>
      </w:r>
      <w:r w:rsidR="00AF4234" w:rsidRPr="00B13A25">
        <w:rPr>
          <w:rFonts w:eastAsiaTheme="minorEastAsia"/>
          <w:vertAlign w:val="subscript"/>
        </w:rPr>
        <w:t>pc</w:t>
      </w:r>
      <w:r w:rsidR="00AF4234" w:rsidRPr="00B13A25">
        <w:rPr>
          <w:rFonts w:eastAsiaTheme="minorEastAsia"/>
        </w:rPr>
        <w:t xml:space="preserve"> </w:t>
      </w:r>
      <w:r w:rsidR="00A225B5">
        <w:rPr>
          <w:rFonts w:eastAsiaTheme="minorEastAsia"/>
        </w:rPr>
        <w:t>to</w:t>
      </w:r>
      <w:r w:rsidR="00AF4234" w:rsidRPr="00B13A25">
        <w:rPr>
          <w:rFonts w:eastAsiaTheme="minorEastAsia"/>
        </w:rPr>
        <w:t xml:space="preserve"> better </w:t>
      </w:r>
      <w:r w:rsidR="00A225B5">
        <w:rPr>
          <w:rFonts w:eastAsiaTheme="minorEastAsia"/>
        </w:rPr>
        <w:t xml:space="preserve">capture </w:t>
      </w:r>
      <w:r w:rsidR="00AF4234" w:rsidRPr="00B13A25">
        <w:rPr>
          <w:rFonts w:eastAsiaTheme="minorEastAsia"/>
        </w:rPr>
        <w:t xml:space="preserve">more of variance in productivity than was </w:t>
      </w:r>
      <w:r w:rsidR="00A225B5">
        <w:rPr>
          <w:rFonts w:eastAsiaTheme="minorEastAsia"/>
        </w:rPr>
        <w:t xml:space="preserve">previously </w:t>
      </w:r>
      <w:r w:rsidR="00AF4234" w:rsidRPr="00B13A25">
        <w:rPr>
          <w:rFonts w:eastAsiaTheme="minorEastAsia"/>
        </w:rPr>
        <w:t>achieved.</w:t>
      </w:r>
    </w:p>
    <w:p w14:paraId="06E58AE9" w14:textId="4486D68F" w:rsidR="00AF4234" w:rsidRPr="00B13A25" w:rsidRDefault="00AF4234" w:rsidP="002B33C4">
      <w:pPr>
        <w:spacing w:line="360" w:lineRule="auto"/>
        <w:rPr>
          <w:rFonts w:eastAsiaTheme="minorEastAsia"/>
        </w:rPr>
      </w:pPr>
      <w:r w:rsidRPr="00B13A25">
        <w:rPr>
          <w:rFonts w:eastAsiaTheme="minorEastAsia"/>
        </w:rPr>
        <w:t xml:space="preserve">We then tested for autocorrelation using the Durbin-Watson (DW) test. For both models the DW statistic was in the zone of indecision, meaning that we </w:t>
      </w:r>
      <w:r w:rsidR="00917311">
        <w:rPr>
          <w:rFonts w:eastAsiaTheme="minorEastAsia"/>
        </w:rPr>
        <w:t>cannot</w:t>
      </w:r>
      <w:r w:rsidRPr="00B13A25">
        <w:rPr>
          <w:rFonts w:eastAsiaTheme="minorEastAsia"/>
        </w:rPr>
        <w:t xml:space="preserve"> </w:t>
      </w:r>
      <w:r w:rsidRPr="00917311">
        <w:rPr>
          <w:rFonts w:eastAsiaTheme="minorEastAsia"/>
          <w:highlight w:val="yellow"/>
        </w:rPr>
        <w:t>not reject or reject the presence of autocorrelation.</w:t>
      </w:r>
    </w:p>
    <w:p w14:paraId="2F0EB75B" w14:textId="641C5C1A" w:rsidR="00AF4234" w:rsidRPr="00B13A25" w:rsidRDefault="00AF4234" w:rsidP="002B33C4">
      <w:pPr>
        <w:spacing w:line="360" w:lineRule="auto"/>
        <w:rPr>
          <w:rFonts w:eastAsiaTheme="minorEastAsia"/>
        </w:rPr>
      </w:pPr>
      <w:r w:rsidRPr="00B13A25">
        <w:rPr>
          <w:rFonts w:eastAsiaTheme="minorEastAsia"/>
        </w:rPr>
        <w:t xml:space="preserve">Additionally, we also </w:t>
      </w:r>
      <w:r w:rsidR="00BD6089">
        <w:rPr>
          <w:rFonts w:eastAsiaTheme="minorEastAsia"/>
        </w:rPr>
        <w:t xml:space="preserve">repeated </w:t>
      </w:r>
      <w:r w:rsidRPr="00B13A25">
        <w:rPr>
          <w:rFonts w:eastAsiaTheme="minorEastAsia"/>
        </w:rPr>
        <w:t>White’s test</w:t>
      </w:r>
      <w:r w:rsidR="00BD6089">
        <w:rPr>
          <w:rFonts w:eastAsiaTheme="minorEastAsia"/>
        </w:rPr>
        <w:t xml:space="preserve"> for heteroscedasticity on the log-transformed models</w:t>
      </w:r>
      <w:r w:rsidRPr="00B13A25">
        <w:rPr>
          <w:rFonts w:eastAsiaTheme="minorEastAsia"/>
        </w:rPr>
        <w:t>, which had limited positive impact.</w:t>
      </w:r>
    </w:p>
    <w:p w14:paraId="629CE610" w14:textId="58865F30" w:rsidR="00AF4234" w:rsidRPr="00B13A25" w:rsidRDefault="00AF4234" w:rsidP="002B33C4">
      <w:pPr>
        <w:spacing w:line="360" w:lineRule="auto"/>
        <w:rPr>
          <w:rFonts w:eastAsiaTheme="minorEastAsia"/>
        </w:rPr>
      </w:pPr>
      <w:r w:rsidRPr="00B13A25">
        <w:rPr>
          <w:rFonts w:eastAsiaTheme="minorEastAsia"/>
        </w:rPr>
        <w:t>After implementing log-transformed variables, we also implemented heteroscedasticity-robust (HAC) standard errors, and two more changes. The first was to switch from rgdpo.pop to rgdpo.pop.roll, which represents the five-year rolling average of output per capita. This is useful given our five-year restriction in variable sampling, as it reduces the risk of recessionary declines in GDP producing biased coefficient estimates. The second was to switch from voc to voc</w:t>
      </w:r>
      <w:r w:rsidRPr="00B13A25">
        <w:rPr>
          <w:rFonts w:eastAsiaTheme="minorEastAsia"/>
          <w:vertAlign w:val="subscript"/>
        </w:rPr>
        <w:t>pc</w:t>
      </w:r>
      <w:r w:rsidRPr="00B13A25">
        <w:rPr>
          <w:rFonts w:eastAsiaTheme="minorEastAsia"/>
        </w:rPr>
        <w:t xml:space="preserve"> </w:t>
      </w:r>
      <w:r w:rsidR="00676570">
        <w:rPr>
          <w:rFonts w:eastAsiaTheme="minorEastAsia"/>
        </w:rPr>
        <w:t>as</w:t>
      </w:r>
      <w:r w:rsidRPr="00B13A25">
        <w:rPr>
          <w:rFonts w:eastAsiaTheme="minorEastAsia"/>
        </w:rPr>
        <w:t xml:space="preserve"> </w:t>
      </w:r>
      <w:r w:rsidR="00676570">
        <w:rPr>
          <w:rFonts w:eastAsiaTheme="minorEastAsia"/>
        </w:rPr>
        <w:t>previously discussed</w:t>
      </w:r>
      <w:r w:rsidRPr="00B13A25">
        <w:rPr>
          <w:rFonts w:eastAsiaTheme="minorEastAsia"/>
        </w:rPr>
        <w:t>.</w:t>
      </w:r>
    </w:p>
    <w:p w14:paraId="7BDD62C4" w14:textId="35FE99BE" w:rsidR="009E2075" w:rsidRDefault="00AF4234" w:rsidP="002B33C4">
      <w:pPr>
        <w:spacing w:line="360" w:lineRule="auto"/>
        <w:rPr>
          <w:rFonts w:eastAsiaTheme="minorEastAsia"/>
        </w:rPr>
      </w:pPr>
      <w:r w:rsidRPr="00B13A25">
        <w:rPr>
          <w:rFonts w:eastAsiaTheme="minorEastAsia"/>
        </w:rPr>
        <w:t xml:space="preserve">Models 3 and 4 were then produced. Given the log-log form of these models, this </w:t>
      </w:r>
      <w:r w:rsidR="007C0C1C">
        <w:rPr>
          <w:rFonts w:eastAsiaTheme="minorEastAsia"/>
        </w:rPr>
        <w:t>made</w:t>
      </w:r>
      <w:r w:rsidRPr="00B13A25">
        <w:rPr>
          <w:rFonts w:eastAsiaTheme="minorEastAsia"/>
        </w:rPr>
        <w:t xml:space="preserve"> it simpler to interpret model coefficients. For instance, from model 4 we can see </w:t>
      </w:r>
      <w:r w:rsidR="00C37C21">
        <w:rPr>
          <w:rFonts w:eastAsiaTheme="minorEastAsia"/>
        </w:rPr>
        <w:t xml:space="preserve">in Table 3 </w:t>
      </w:r>
      <w:r w:rsidRPr="00B13A25">
        <w:rPr>
          <w:rFonts w:eastAsiaTheme="minorEastAsia"/>
        </w:rPr>
        <w:t>that a 1% increase in yrs</w:t>
      </w:r>
      <w:r w:rsidRPr="00B13A25">
        <w:rPr>
          <w:rFonts w:eastAsiaTheme="minorEastAsia"/>
          <w:vertAlign w:val="subscript"/>
        </w:rPr>
        <w:t>sch</w:t>
      </w:r>
      <w:r w:rsidRPr="00B13A25">
        <w:rPr>
          <w:rFonts w:eastAsiaTheme="minorEastAsia"/>
        </w:rPr>
        <w:t xml:space="preserve"> will lead to a </w:t>
      </w:r>
      <w:r w:rsidRPr="007A0BB3">
        <w:rPr>
          <w:rFonts w:eastAsiaTheme="minorEastAsia"/>
        </w:rPr>
        <w:t>0.</w:t>
      </w:r>
      <w:r w:rsidR="007A0BB3" w:rsidRPr="007A0BB3">
        <w:rPr>
          <w:rFonts w:eastAsiaTheme="minorEastAsia"/>
        </w:rPr>
        <w:t>70</w:t>
      </w:r>
      <w:r w:rsidRPr="00B13A25">
        <w:rPr>
          <w:rFonts w:eastAsiaTheme="minorEastAsia"/>
        </w:rPr>
        <w:t>% increase in output per capita, when accounting for factors such as changes in total factor productivity and vocational offering.</w:t>
      </w:r>
    </w:p>
    <w:p w14:paraId="133B8C7C" w14:textId="035CD7AF" w:rsidR="00AF4234" w:rsidRPr="00B13A25" w:rsidRDefault="00AF4234" w:rsidP="002B33C4">
      <w:pPr>
        <w:spacing w:line="360" w:lineRule="auto"/>
        <w:rPr>
          <w:rFonts w:eastAsiaTheme="minorEastAsia"/>
        </w:rPr>
      </w:pPr>
      <w:r w:rsidRPr="00B13A25">
        <w:rPr>
          <w:rFonts w:eastAsiaTheme="minorEastAsia"/>
        </w:rPr>
        <w:t xml:space="preserve">We then also produced </w:t>
      </w:r>
      <w:r w:rsidR="00706A3E">
        <w:rPr>
          <w:rFonts w:eastAsiaTheme="minorEastAsia"/>
        </w:rPr>
        <w:t>a final model</w:t>
      </w:r>
      <w:r w:rsidRPr="00B13A25">
        <w:rPr>
          <w:rFonts w:eastAsiaTheme="minorEastAsia"/>
        </w:rPr>
        <w:t>, which included a dummy variable for the year 2010 to control for the impacts of the 2008 financial crisis.</w:t>
      </w:r>
      <w:r w:rsidRPr="00B13A25">
        <w:rPr>
          <w:rStyle w:val="FootnoteReference"/>
          <w:rFonts w:eastAsiaTheme="minorEastAsia"/>
        </w:rPr>
        <w:footnoteReference w:id="3"/>
      </w:r>
      <w:r w:rsidRPr="00B13A25">
        <w:rPr>
          <w:rFonts w:eastAsiaTheme="minorEastAsia"/>
        </w:rPr>
        <w:t xml:space="preserve"> However, this produced a counter-intuitive result, suggesting that output per capita was above-trend in 2010. </w:t>
      </w:r>
      <w:r w:rsidR="00B13605">
        <w:rPr>
          <w:rFonts w:eastAsiaTheme="minorEastAsia"/>
        </w:rPr>
        <w:t>This is likely an atypical result, and b</w:t>
      </w:r>
      <w:r w:rsidRPr="00B13A25">
        <w:rPr>
          <w:rFonts w:eastAsiaTheme="minorEastAsia"/>
        </w:rPr>
        <w:t>ecause of this, model 4 is considered the preferred model of those produced.</w:t>
      </w:r>
    </w:p>
    <w:p w14:paraId="692DCC12" w14:textId="77EC7490" w:rsidR="00744FFC" w:rsidRPr="00B13A25" w:rsidRDefault="00744FFC" w:rsidP="002B33C4">
      <w:pPr>
        <w:pStyle w:val="Heading1"/>
        <w:rPr>
          <w:rFonts w:cs="Times New Roman"/>
        </w:rPr>
      </w:pPr>
      <w:r w:rsidRPr="00B13A25">
        <w:rPr>
          <w:rFonts w:cs="Times New Roman"/>
        </w:rPr>
        <w:lastRenderedPageBreak/>
        <w:t>Reporting</w:t>
      </w:r>
    </w:p>
    <w:p w14:paraId="24338ADD" w14:textId="77777777" w:rsidR="000F162A" w:rsidRPr="00B13A25" w:rsidRDefault="000F162A" w:rsidP="002B33C4">
      <w:pPr>
        <w:pStyle w:val="Heading2"/>
        <w:rPr>
          <w:rFonts w:cs="Times New Roman"/>
        </w:rPr>
      </w:pPr>
      <w:r w:rsidRPr="00B13A25">
        <w:rPr>
          <w:rFonts w:cs="Times New Roman"/>
        </w:rPr>
        <w:t>Table 3: Summary of model coefficients</w:t>
      </w:r>
    </w:p>
    <w:tbl>
      <w:tblPr>
        <w:tblStyle w:val="TableGrid"/>
        <w:tblW w:w="10092" w:type="dxa"/>
        <w:tblBorders>
          <w:top w:val="single" w:sz="4" w:space="0" w:color="A6A6A6" w:themeColor="background1" w:themeShade="A6"/>
          <w:left w:val="single" w:sz="4" w:space="0" w:color="A6A6A6" w:themeColor="background1" w:themeShade="A6"/>
          <w:bottom w:val="single" w:sz="4" w:space="0" w:color="A6A6A6" w:themeColor="background1" w:themeShade="A6"/>
          <w:right w:val="single" w:sz="4" w:space="0" w:color="A6A6A6" w:themeColor="background1" w:themeShade="A6"/>
          <w:insideH w:val="single" w:sz="4" w:space="0" w:color="A6A6A6" w:themeColor="background1" w:themeShade="A6"/>
          <w:insideV w:val="single" w:sz="4" w:space="0" w:color="A6A6A6" w:themeColor="background1" w:themeShade="A6"/>
        </w:tblBorders>
        <w:tblLook w:val="04A0" w:firstRow="1" w:lastRow="0" w:firstColumn="1" w:lastColumn="0" w:noHBand="0" w:noVBand="1"/>
      </w:tblPr>
      <w:tblGrid>
        <w:gridCol w:w="1587"/>
        <w:gridCol w:w="1701"/>
        <w:gridCol w:w="1701"/>
        <w:gridCol w:w="1701"/>
        <w:gridCol w:w="1701"/>
        <w:gridCol w:w="1701"/>
      </w:tblGrid>
      <w:tr w:rsidR="00B13A25" w:rsidRPr="00B13A25" w14:paraId="03773CE4" w14:textId="77777777" w:rsidTr="00E8579B">
        <w:trPr>
          <w:trHeight w:val="255"/>
        </w:trPr>
        <w:tc>
          <w:tcPr>
            <w:tcW w:w="1587" w:type="dxa"/>
            <w:vAlign w:val="center"/>
          </w:tcPr>
          <w:p w14:paraId="68630E35" w14:textId="77777777" w:rsidR="000F162A" w:rsidRPr="00B13A25" w:rsidRDefault="000F162A" w:rsidP="002B33C4">
            <w:pPr>
              <w:spacing w:line="360" w:lineRule="auto"/>
              <w:rPr>
                <w:rFonts w:ascii="Times New Roman" w:hAnsi="Times New Roman" w:cs="Times New Roman"/>
              </w:rPr>
            </w:pPr>
          </w:p>
        </w:tc>
        <w:tc>
          <w:tcPr>
            <w:tcW w:w="1701" w:type="dxa"/>
            <w:vAlign w:val="center"/>
          </w:tcPr>
          <w:p w14:paraId="3B2503DC"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Model 1</w:t>
            </w:r>
          </w:p>
        </w:tc>
        <w:tc>
          <w:tcPr>
            <w:tcW w:w="1701" w:type="dxa"/>
            <w:vAlign w:val="center"/>
          </w:tcPr>
          <w:p w14:paraId="1611EB63"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Model 2</w:t>
            </w:r>
          </w:p>
        </w:tc>
        <w:tc>
          <w:tcPr>
            <w:tcW w:w="1701" w:type="dxa"/>
            <w:vAlign w:val="center"/>
          </w:tcPr>
          <w:p w14:paraId="487FEDFC"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Model 3</w:t>
            </w:r>
          </w:p>
        </w:tc>
        <w:tc>
          <w:tcPr>
            <w:tcW w:w="1701" w:type="dxa"/>
            <w:vAlign w:val="center"/>
          </w:tcPr>
          <w:p w14:paraId="6ED9BF26"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Model 4</w:t>
            </w:r>
          </w:p>
        </w:tc>
        <w:tc>
          <w:tcPr>
            <w:tcW w:w="1701" w:type="dxa"/>
            <w:vAlign w:val="center"/>
          </w:tcPr>
          <w:p w14:paraId="32871682"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Model 5</w:t>
            </w:r>
          </w:p>
        </w:tc>
      </w:tr>
      <w:tr w:rsidR="00B13A25" w:rsidRPr="00B13A25" w14:paraId="6CBC4B8F" w14:textId="77777777" w:rsidTr="00E8579B">
        <w:trPr>
          <w:trHeight w:val="255"/>
        </w:trPr>
        <w:tc>
          <w:tcPr>
            <w:tcW w:w="1587" w:type="dxa"/>
            <w:vAlign w:val="center"/>
          </w:tcPr>
          <w:p w14:paraId="1067AB22"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constant</w:t>
            </w:r>
          </w:p>
        </w:tc>
        <w:tc>
          <w:tcPr>
            <w:tcW w:w="1701" w:type="dxa"/>
            <w:vAlign w:val="center"/>
          </w:tcPr>
          <w:p w14:paraId="741CE295"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 934</w:t>
            </w:r>
          </w:p>
        </w:tc>
        <w:tc>
          <w:tcPr>
            <w:tcW w:w="1701" w:type="dxa"/>
            <w:vAlign w:val="center"/>
          </w:tcPr>
          <w:p w14:paraId="132D66EB"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kern w:val="0"/>
              </w:rPr>
              <w:t>(−) 26,984***</w:t>
            </w:r>
          </w:p>
        </w:tc>
        <w:tc>
          <w:tcPr>
            <w:tcW w:w="1701" w:type="dxa"/>
            <w:vAlign w:val="center"/>
          </w:tcPr>
          <w:p w14:paraId="4FD1F15A"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7.64***</w:t>
            </w:r>
          </w:p>
        </w:tc>
        <w:tc>
          <w:tcPr>
            <w:tcW w:w="1701" w:type="dxa"/>
            <w:vAlign w:val="center"/>
          </w:tcPr>
          <w:p w14:paraId="4424FB70"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7.59***</w:t>
            </w:r>
          </w:p>
        </w:tc>
        <w:tc>
          <w:tcPr>
            <w:tcW w:w="1701" w:type="dxa"/>
            <w:vAlign w:val="center"/>
          </w:tcPr>
          <w:p w14:paraId="59CEC72F"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7.71***</w:t>
            </w:r>
          </w:p>
        </w:tc>
      </w:tr>
      <w:tr w:rsidR="00E8579B" w:rsidRPr="00B13A25" w14:paraId="4127D522" w14:textId="77777777" w:rsidTr="00E8579B">
        <w:trPr>
          <w:trHeight w:val="255"/>
        </w:trPr>
        <w:tc>
          <w:tcPr>
            <w:tcW w:w="1587" w:type="dxa"/>
            <w:vAlign w:val="center"/>
          </w:tcPr>
          <w:p w14:paraId="0EABA5F6"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year</w:t>
            </w:r>
            <w:r w:rsidRPr="00B13A25">
              <w:rPr>
                <w:rFonts w:ascii="Times New Roman" w:hAnsi="Times New Roman" w:cs="Times New Roman"/>
                <w:vertAlign w:val="subscript"/>
              </w:rPr>
              <w:t>orig</w:t>
            </w:r>
          </w:p>
        </w:tc>
        <w:tc>
          <w:tcPr>
            <w:tcW w:w="1701" w:type="dxa"/>
            <w:vAlign w:val="center"/>
          </w:tcPr>
          <w:p w14:paraId="6A0A8F54"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508***</w:t>
            </w:r>
          </w:p>
        </w:tc>
        <w:tc>
          <w:tcPr>
            <w:tcW w:w="1701" w:type="dxa"/>
            <w:vAlign w:val="center"/>
          </w:tcPr>
          <w:p w14:paraId="322975DD"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kern w:val="0"/>
              </w:rPr>
              <w:t>464***</w:t>
            </w:r>
          </w:p>
        </w:tc>
        <w:tc>
          <w:tcPr>
            <w:tcW w:w="1701" w:type="dxa"/>
            <w:vAlign w:val="center"/>
          </w:tcPr>
          <w:p w14:paraId="7B9B6BC9"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0.33***</w:t>
            </w:r>
          </w:p>
        </w:tc>
        <w:tc>
          <w:tcPr>
            <w:tcW w:w="1701" w:type="dxa"/>
            <w:vAlign w:val="center"/>
          </w:tcPr>
          <w:p w14:paraId="1482E952"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0.33***</w:t>
            </w:r>
          </w:p>
        </w:tc>
        <w:tc>
          <w:tcPr>
            <w:tcW w:w="1701" w:type="dxa"/>
            <w:vAlign w:val="center"/>
          </w:tcPr>
          <w:p w14:paraId="7D3DA675"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0.31***</w:t>
            </w:r>
          </w:p>
        </w:tc>
      </w:tr>
      <w:tr w:rsidR="00E8579B" w:rsidRPr="00B13A25" w14:paraId="22D9D620" w14:textId="77777777" w:rsidTr="00E8579B">
        <w:trPr>
          <w:trHeight w:val="255"/>
        </w:trPr>
        <w:tc>
          <w:tcPr>
            <w:tcW w:w="1587" w:type="dxa"/>
            <w:vAlign w:val="center"/>
          </w:tcPr>
          <w:p w14:paraId="3028524B"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yrs</w:t>
            </w:r>
            <w:r w:rsidRPr="00B13A25">
              <w:rPr>
                <w:rFonts w:ascii="Times New Roman" w:hAnsi="Times New Roman" w:cs="Times New Roman"/>
                <w:vertAlign w:val="subscript"/>
              </w:rPr>
              <w:t>sch</w:t>
            </w:r>
          </w:p>
        </w:tc>
        <w:tc>
          <w:tcPr>
            <w:tcW w:w="1701" w:type="dxa"/>
            <w:vAlign w:val="center"/>
          </w:tcPr>
          <w:p w14:paraId="15E9D207"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1,488**</w:t>
            </w:r>
          </w:p>
        </w:tc>
        <w:tc>
          <w:tcPr>
            <w:tcW w:w="1701" w:type="dxa"/>
            <w:vAlign w:val="center"/>
          </w:tcPr>
          <w:p w14:paraId="462B14A9"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kern w:val="0"/>
              </w:rPr>
              <w:t>1,572***</w:t>
            </w:r>
          </w:p>
        </w:tc>
        <w:tc>
          <w:tcPr>
            <w:tcW w:w="1701" w:type="dxa"/>
            <w:vAlign w:val="center"/>
          </w:tcPr>
          <w:p w14:paraId="7DC4611F"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0.70***</w:t>
            </w:r>
          </w:p>
        </w:tc>
        <w:tc>
          <w:tcPr>
            <w:tcW w:w="1701" w:type="dxa"/>
            <w:vAlign w:val="center"/>
          </w:tcPr>
          <w:p w14:paraId="71CED845"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0.70***</w:t>
            </w:r>
          </w:p>
        </w:tc>
        <w:tc>
          <w:tcPr>
            <w:tcW w:w="1701" w:type="dxa"/>
            <w:vAlign w:val="center"/>
          </w:tcPr>
          <w:p w14:paraId="274BD291"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0.66***</w:t>
            </w:r>
          </w:p>
        </w:tc>
      </w:tr>
      <w:tr w:rsidR="000F162A" w:rsidRPr="00B13A25" w14:paraId="009E82DA" w14:textId="77777777" w:rsidTr="00E8579B">
        <w:trPr>
          <w:trHeight w:val="255"/>
        </w:trPr>
        <w:tc>
          <w:tcPr>
            <w:tcW w:w="1587" w:type="dxa"/>
            <w:vAlign w:val="center"/>
          </w:tcPr>
          <w:p w14:paraId="19F84E1D"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voc</w:t>
            </w:r>
          </w:p>
        </w:tc>
        <w:tc>
          <w:tcPr>
            <w:tcW w:w="1701" w:type="dxa"/>
            <w:vAlign w:val="center"/>
          </w:tcPr>
          <w:p w14:paraId="65D962C2"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1,973</w:t>
            </w:r>
          </w:p>
        </w:tc>
        <w:tc>
          <w:tcPr>
            <w:tcW w:w="1701" w:type="dxa"/>
            <w:vAlign w:val="center"/>
          </w:tcPr>
          <w:p w14:paraId="5FAE9D78"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kern w:val="0"/>
              </w:rPr>
              <w:t>1,606</w:t>
            </w:r>
          </w:p>
        </w:tc>
        <w:tc>
          <w:tcPr>
            <w:tcW w:w="1701" w:type="dxa"/>
            <w:vAlign w:val="center"/>
          </w:tcPr>
          <w:p w14:paraId="48DBDB23"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w:t>
            </w:r>
          </w:p>
        </w:tc>
        <w:tc>
          <w:tcPr>
            <w:tcW w:w="1701" w:type="dxa"/>
            <w:vAlign w:val="center"/>
          </w:tcPr>
          <w:p w14:paraId="35729FB0"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w:t>
            </w:r>
          </w:p>
        </w:tc>
        <w:tc>
          <w:tcPr>
            <w:tcW w:w="1701" w:type="dxa"/>
            <w:vAlign w:val="center"/>
          </w:tcPr>
          <w:p w14:paraId="0964F1D7"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w:t>
            </w:r>
          </w:p>
        </w:tc>
      </w:tr>
      <w:tr w:rsidR="000F162A" w:rsidRPr="00B13A25" w14:paraId="172A4E8E" w14:textId="77777777" w:rsidTr="00E8579B">
        <w:trPr>
          <w:trHeight w:val="255"/>
        </w:trPr>
        <w:tc>
          <w:tcPr>
            <w:tcW w:w="1587" w:type="dxa"/>
            <w:vAlign w:val="center"/>
          </w:tcPr>
          <w:p w14:paraId="5C0E8C15"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voc</w:t>
            </w:r>
            <w:r w:rsidRPr="00B13A25">
              <w:rPr>
                <w:rFonts w:ascii="Times New Roman" w:hAnsi="Times New Roman" w:cs="Times New Roman"/>
                <w:vertAlign w:val="subscript"/>
              </w:rPr>
              <w:t>pc</w:t>
            </w:r>
          </w:p>
        </w:tc>
        <w:tc>
          <w:tcPr>
            <w:tcW w:w="1701" w:type="dxa"/>
            <w:vAlign w:val="center"/>
          </w:tcPr>
          <w:p w14:paraId="3520E5E3"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w:t>
            </w:r>
          </w:p>
        </w:tc>
        <w:tc>
          <w:tcPr>
            <w:tcW w:w="1701" w:type="dxa"/>
            <w:vAlign w:val="center"/>
          </w:tcPr>
          <w:p w14:paraId="4A1FF5C1"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w:t>
            </w:r>
          </w:p>
        </w:tc>
        <w:tc>
          <w:tcPr>
            <w:tcW w:w="1701" w:type="dxa"/>
            <w:vAlign w:val="center"/>
          </w:tcPr>
          <w:p w14:paraId="4723C11C"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0.00</w:t>
            </w:r>
          </w:p>
        </w:tc>
        <w:tc>
          <w:tcPr>
            <w:tcW w:w="1701" w:type="dxa"/>
            <w:vAlign w:val="center"/>
          </w:tcPr>
          <w:p w14:paraId="41B41A66"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0.02</w:t>
            </w:r>
          </w:p>
        </w:tc>
        <w:tc>
          <w:tcPr>
            <w:tcW w:w="1701" w:type="dxa"/>
            <w:vAlign w:val="center"/>
          </w:tcPr>
          <w:p w14:paraId="3565A2FB"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0.02</w:t>
            </w:r>
          </w:p>
        </w:tc>
      </w:tr>
      <w:tr w:rsidR="00E8579B" w:rsidRPr="00B13A25" w14:paraId="77F13637" w14:textId="77777777" w:rsidTr="00E8579B">
        <w:trPr>
          <w:trHeight w:val="255"/>
        </w:trPr>
        <w:tc>
          <w:tcPr>
            <w:tcW w:w="1587" w:type="dxa"/>
            <w:vAlign w:val="center"/>
          </w:tcPr>
          <w:p w14:paraId="4D14491E"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ctfp</w:t>
            </w:r>
          </w:p>
        </w:tc>
        <w:tc>
          <w:tcPr>
            <w:tcW w:w="1701" w:type="dxa"/>
            <w:vAlign w:val="center"/>
          </w:tcPr>
          <w:p w14:paraId="1E45F232"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w:t>
            </w:r>
          </w:p>
        </w:tc>
        <w:tc>
          <w:tcPr>
            <w:tcW w:w="1701" w:type="dxa"/>
            <w:vAlign w:val="center"/>
          </w:tcPr>
          <w:p w14:paraId="7C692A06"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kern w:val="0"/>
              </w:rPr>
              <w:t>30,131***</w:t>
            </w:r>
          </w:p>
        </w:tc>
        <w:tc>
          <w:tcPr>
            <w:tcW w:w="1701" w:type="dxa"/>
            <w:vAlign w:val="center"/>
          </w:tcPr>
          <w:p w14:paraId="697E1B6B"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1.11***</w:t>
            </w:r>
          </w:p>
        </w:tc>
        <w:tc>
          <w:tcPr>
            <w:tcW w:w="1701" w:type="dxa"/>
            <w:vAlign w:val="center"/>
          </w:tcPr>
          <w:p w14:paraId="25EEBFCC"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1.11***</w:t>
            </w:r>
          </w:p>
        </w:tc>
        <w:tc>
          <w:tcPr>
            <w:tcW w:w="1701" w:type="dxa"/>
            <w:vAlign w:val="center"/>
          </w:tcPr>
          <w:p w14:paraId="5340CC7A"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1.12***</w:t>
            </w:r>
          </w:p>
        </w:tc>
      </w:tr>
      <w:tr w:rsidR="00E8579B" w:rsidRPr="00B13A25" w14:paraId="1718FF13" w14:textId="77777777" w:rsidTr="00E8579B">
        <w:trPr>
          <w:trHeight w:val="255"/>
        </w:trPr>
        <w:tc>
          <w:tcPr>
            <w:tcW w:w="1587" w:type="dxa"/>
            <w:vAlign w:val="center"/>
          </w:tcPr>
          <w:p w14:paraId="7BB9CA46"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D</w:t>
            </w:r>
            <w:r w:rsidRPr="00B13A25">
              <w:rPr>
                <w:rFonts w:ascii="Times New Roman" w:hAnsi="Times New Roman" w:cs="Times New Roman"/>
                <w:vertAlign w:val="subscript"/>
              </w:rPr>
              <w:t>2010</w:t>
            </w:r>
          </w:p>
        </w:tc>
        <w:tc>
          <w:tcPr>
            <w:tcW w:w="1701" w:type="dxa"/>
            <w:vAlign w:val="center"/>
          </w:tcPr>
          <w:p w14:paraId="2191C7A8"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w:t>
            </w:r>
          </w:p>
        </w:tc>
        <w:tc>
          <w:tcPr>
            <w:tcW w:w="1701" w:type="dxa"/>
            <w:vAlign w:val="center"/>
          </w:tcPr>
          <w:p w14:paraId="70A544FB"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w:t>
            </w:r>
          </w:p>
        </w:tc>
        <w:tc>
          <w:tcPr>
            <w:tcW w:w="1701" w:type="dxa"/>
            <w:vAlign w:val="center"/>
          </w:tcPr>
          <w:p w14:paraId="0F543FEE"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w:t>
            </w:r>
          </w:p>
        </w:tc>
        <w:tc>
          <w:tcPr>
            <w:tcW w:w="1701" w:type="dxa"/>
            <w:vAlign w:val="center"/>
          </w:tcPr>
          <w:p w14:paraId="2E2552EC"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w:t>
            </w:r>
          </w:p>
        </w:tc>
        <w:tc>
          <w:tcPr>
            <w:tcW w:w="1701" w:type="dxa"/>
            <w:vAlign w:val="center"/>
          </w:tcPr>
          <w:p w14:paraId="68EAE9D2" w14:textId="77777777" w:rsidR="000F162A" w:rsidRPr="00B13A25" w:rsidRDefault="000F162A" w:rsidP="002B33C4">
            <w:pPr>
              <w:spacing w:line="360" w:lineRule="auto"/>
              <w:rPr>
                <w:rFonts w:ascii="Times New Roman" w:hAnsi="Times New Roman" w:cs="Times New Roman"/>
              </w:rPr>
            </w:pPr>
            <w:r w:rsidRPr="00B13A25">
              <w:rPr>
                <w:rFonts w:ascii="Times New Roman" w:hAnsi="Times New Roman" w:cs="Times New Roman"/>
              </w:rPr>
              <w:t>0.16**</w:t>
            </w:r>
          </w:p>
        </w:tc>
      </w:tr>
    </w:tbl>
    <w:p w14:paraId="34FE30F4" w14:textId="4F51B35E" w:rsidR="000F162A" w:rsidRPr="00B13A25" w:rsidRDefault="00555DFA" w:rsidP="002B33C4">
      <w:pPr>
        <w:spacing w:line="360" w:lineRule="auto"/>
      </w:pPr>
      <w:r>
        <w:t>I</w:t>
      </w:r>
      <w:r w:rsidR="000F162A" w:rsidRPr="00B13A25">
        <w:t xml:space="preserve">t is important to note that due to difference in </w:t>
      </w:r>
      <w:r w:rsidR="00E62485">
        <w:t xml:space="preserve">singular </w:t>
      </w:r>
      <w:r w:rsidR="000F162A" w:rsidRPr="00B13A25">
        <w:t>model structure</w:t>
      </w:r>
      <w:r>
        <w:t>,</w:t>
      </w:r>
      <w:r w:rsidR="000F162A" w:rsidRPr="00B13A25">
        <w:t xml:space="preserve"> the scale of coefficients between these models is not directly comparable.</w:t>
      </w:r>
    </w:p>
    <w:p w14:paraId="0D417A99" w14:textId="77777777" w:rsidR="007E596C" w:rsidRDefault="00E62485" w:rsidP="002B33C4">
      <w:pPr>
        <w:spacing w:line="360" w:lineRule="auto"/>
      </w:pPr>
      <w:r>
        <w:t>From model 3 onwards, results were more consistent, therefore we only consider these models going forwards.</w:t>
      </w:r>
    </w:p>
    <w:p w14:paraId="16A8CB32" w14:textId="1BCAF6E5" w:rsidR="000F162A" w:rsidRPr="00B13A25" w:rsidRDefault="000F162A" w:rsidP="002B33C4">
      <w:pPr>
        <w:spacing w:line="360" w:lineRule="auto"/>
      </w:pPr>
      <w:r w:rsidRPr="00B13A25">
        <w:t>Our estimates suggest a 10% rise in the average number of years spent in education leads to between a 6.6% and 7.0% rise in output per capita holding all else equal.</w:t>
      </w:r>
    </w:p>
    <w:p w14:paraId="64880CBC" w14:textId="546E6A02" w:rsidR="000F162A" w:rsidRPr="00B13A25" w:rsidRDefault="000F162A" w:rsidP="002B33C4">
      <w:pPr>
        <w:spacing w:line="360" w:lineRule="auto"/>
      </w:pPr>
      <w:r w:rsidRPr="00B13A25">
        <w:t xml:space="preserve">Additionally, we found no statistically significant link in this analysis between the type of education provided and output per capita. However, it is important to caveat this by emphasising that </w:t>
      </w:r>
      <w:r w:rsidR="00BC688C">
        <w:t>lagged variables could not be implemented</w:t>
      </w:r>
      <w:r w:rsidRPr="00B13A25">
        <w:t xml:space="preserve"> due to limited sample size.</w:t>
      </w:r>
    </w:p>
    <w:p w14:paraId="525D84C1" w14:textId="029B13D7" w:rsidR="000F162A" w:rsidRPr="00B13A25" w:rsidRDefault="000F162A" w:rsidP="002B33C4">
      <w:pPr>
        <w:spacing w:line="360" w:lineRule="auto"/>
      </w:pPr>
      <w:r w:rsidRPr="002C0590">
        <w:rPr>
          <w:highlight w:val="yellow"/>
        </w:rPr>
        <w:t>There was a strong positive link between increasing total factor productivity and output per capita.</w:t>
      </w:r>
    </w:p>
    <w:p w14:paraId="5EF371B3" w14:textId="5C3C122C" w:rsidR="00744FFC" w:rsidRPr="00B13A25" w:rsidRDefault="00744FFC" w:rsidP="002B33C4">
      <w:pPr>
        <w:pStyle w:val="Heading1"/>
        <w:rPr>
          <w:rFonts w:cs="Times New Roman"/>
        </w:rPr>
      </w:pPr>
      <w:r w:rsidRPr="00B13A25">
        <w:rPr>
          <w:rFonts w:cs="Times New Roman"/>
        </w:rPr>
        <w:t>Conclusion</w:t>
      </w:r>
    </w:p>
    <w:p w14:paraId="0A562B89" w14:textId="4847FA41" w:rsidR="0050187C" w:rsidRPr="00B13A25" w:rsidRDefault="0050187C" w:rsidP="002B33C4">
      <w:pPr>
        <w:pStyle w:val="Tabletitle"/>
      </w:pPr>
      <w:r w:rsidRPr="00B13A25">
        <w:t>This paper examined the relationship between the number of years spent in education and productivity</w:t>
      </w:r>
      <w:r w:rsidR="00E717D4">
        <w:t xml:space="preserve"> across EU nations</w:t>
      </w:r>
      <w:r w:rsidRPr="00B13A25">
        <w:t>, as measured by output per capita. The preferred</w:t>
      </w:r>
      <w:r w:rsidR="00E2310C">
        <w:t xml:space="preserve"> model</w:t>
      </w:r>
      <w:r w:rsidRPr="00B13A25">
        <w:t>, model 4</w:t>
      </w:r>
      <w:r w:rsidR="00E2310C">
        <w:t>, took</w:t>
      </w:r>
      <w:r w:rsidRPr="00B13A25">
        <w:t xml:space="preserve"> the form:</w:t>
      </w:r>
    </w:p>
    <w:p w14:paraId="26D0E99C" w14:textId="77777777" w:rsidR="0050187C" w:rsidRPr="00B13A25" w:rsidRDefault="0050187C" w:rsidP="002B33C4">
      <w:pPr>
        <w:pStyle w:val="Displayedequation"/>
        <w:spacing w:line="360" w:lineRule="auto"/>
      </w:pPr>
      <w:r w:rsidRPr="00B13A25">
        <w:t>ln(rgdpo.pop.roll) = B</w:t>
      </w:r>
      <w:r w:rsidRPr="00B13A25">
        <w:rPr>
          <w:vertAlign w:val="subscript"/>
        </w:rPr>
        <w:t>0</w:t>
      </w:r>
      <w:r w:rsidRPr="00B13A25">
        <w:t xml:space="preserve"> + B</w:t>
      </w:r>
      <w:r w:rsidRPr="00B13A25">
        <w:rPr>
          <w:vertAlign w:val="subscript"/>
        </w:rPr>
        <w:t>1</w:t>
      </w:r>
      <w:r w:rsidRPr="00B13A25">
        <w:t>·ln(year_orig) + B</w:t>
      </w:r>
      <w:r w:rsidRPr="00B13A25">
        <w:rPr>
          <w:vertAlign w:val="subscript"/>
        </w:rPr>
        <w:t>2</w:t>
      </w:r>
      <w:r w:rsidRPr="00B13A25">
        <w:t>·ln(yrs_sch) + B</w:t>
      </w:r>
      <w:r w:rsidRPr="00B13A25">
        <w:rPr>
          <w:vertAlign w:val="subscript"/>
        </w:rPr>
        <w:t>3</w:t>
      </w:r>
      <w:r w:rsidRPr="00B13A25">
        <w:t>·ln(voc_pc) + B</w:t>
      </w:r>
      <w:r w:rsidRPr="00B13A25">
        <w:rPr>
          <w:vertAlign w:val="subscript"/>
        </w:rPr>
        <w:t>4</w:t>
      </w:r>
      <w:r w:rsidRPr="00B13A25">
        <w:t>·ln(ctfp) + ε</w:t>
      </w:r>
    </w:p>
    <w:p w14:paraId="379EBA0C" w14:textId="05CBED0B" w:rsidR="0050187C" w:rsidRPr="00B13A25" w:rsidRDefault="0050187C" w:rsidP="002B33C4">
      <w:pPr>
        <w:pStyle w:val="Tabletitle"/>
      </w:pPr>
      <w:r w:rsidRPr="00B13A25">
        <w:t xml:space="preserve">Our modelling estimates that a 10% rise in the average number of years spent in education is associated with between a 6.6% and 7.0% rise in GDP output per capita. This result can help inform educational policymaking and </w:t>
      </w:r>
      <w:r w:rsidR="000C7894" w:rsidRPr="00B13A25">
        <w:t>appraisal</w:t>
      </w:r>
      <w:r w:rsidR="000C7894">
        <w:t xml:space="preserve"> but</w:t>
      </w:r>
      <w:r w:rsidRPr="00B13A25">
        <w:t xml:space="preserve"> represents a generalised relationship between education and productivity across European nations</w:t>
      </w:r>
      <w:r w:rsidR="000C7894">
        <w:t>, and does not account for individual member state differences.</w:t>
      </w:r>
    </w:p>
    <w:p w14:paraId="5F5436EC" w14:textId="74D8EC85" w:rsidR="0050187C" w:rsidRPr="00B13A25" w:rsidRDefault="0050187C" w:rsidP="002B33C4">
      <w:pPr>
        <w:pStyle w:val="Tabletitle"/>
      </w:pPr>
      <w:r w:rsidRPr="00B13A25">
        <w:lastRenderedPageBreak/>
        <w:t>It is important to state that the size of the effect mentioned is likely to vary significantly across different countries, depending on a variety of factors. This analysis also considers the impact of education solely in terms of the change in number of years spent in education. Other factors, such as the quality and type of educational programmes offered, are important considerations when designing education policy.</w:t>
      </w:r>
      <w:r w:rsidR="00F5058B">
        <w:t xml:space="preserve"> </w:t>
      </w:r>
      <w:r w:rsidR="00F5058B" w:rsidRPr="00F5058B">
        <w:rPr>
          <w:highlight w:val="yellow"/>
        </w:rPr>
        <w:t>Education positive spillover, not just economic impact…</w:t>
      </w:r>
    </w:p>
    <w:p w14:paraId="1D44CCE4" w14:textId="11F229EE" w:rsidR="00FE4713" w:rsidRPr="00B13A25" w:rsidRDefault="00BF5567" w:rsidP="002B33C4">
      <w:pPr>
        <w:pStyle w:val="Tabletitle"/>
      </w:pPr>
      <w:r>
        <w:t>F</w:t>
      </w:r>
      <w:r w:rsidR="0050187C" w:rsidRPr="00B13A25">
        <w:t xml:space="preserve">uture analysis </w:t>
      </w:r>
      <w:r>
        <w:t>could expand on this</w:t>
      </w:r>
      <w:r w:rsidR="0050187C" w:rsidRPr="00B13A25">
        <w:t xml:space="preserve"> by sourcing more detailed data for average number of years</w:t>
      </w:r>
      <w:r w:rsidR="0045510D">
        <w:t xml:space="preserve"> in</w:t>
      </w:r>
      <w:r w:rsidR="0050187C" w:rsidRPr="00B13A25">
        <w:t xml:space="preserve"> education, th</w:t>
      </w:r>
      <w:r w:rsidR="00C95D8F">
        <w:t>us</w:t>
      </w:r>
      <w:r w:rsidR="0050187C" w:rsidRPr="00B13A25">
        <w:t xml:space="preserve"> allowing for a move from </w:t>
      </w:r>
      <w:r w:rsidR="00034B25">
        <w:t>quinquennial</w:t>
      </w:r>
      <w:r w:rsidR="0050187C" w:rsidRPr="00B13A25">
        <w:t xml:space="preserve"> </w:t>
      </w:r>
      <w:r w:rsidR="000207CB">
        <w:t xml:space="preserve">panel data </w:t>
      </w:r>
      <w:r w:rsidR="0050187C" w:rsidRPr="00B13A25">
        <w:t xml:space="preserve">to annual. </w:t>
      </w:r>
      <w:r w:rsidR="0066374E">
        <w:t>Moreover</w:t>
      </w:r>
      <w:r w:rsidR="0050187C" w:rsidRPr="00B13A25">
        <w:t xml:space="preserve">, there are some variables that this analysis </w:t>
      </w:r>
      <w:r w:rsidR="0066374E">
        <w:t>did not</w:t>
      </w:r>
      <w:r w:rsidR="0050187C" w:rsidRPr="00B13A25">
        <w:t xml:space="preserve"> cover due to time limitations that might improve the robustness of these findings, including adding a qualitative variable for increased female participation in the labour force over time, and the impact of other core economic variables, such as exports and foreign direct investment, </w:t>
      </w:r>
      <w:r w:rsidR="0066374E">
        <w:t xml:space="preserve">and their potential relationship </w:t>
      </w:r>
      <w:r w:rsidR="0050187C" w:rsidRPr="00B13A25">
        <w:t>on GDP output.</w:t>
      </w:r>
    </w:p>
    <w:sectPr w:rsidR="00FE4713" w:rsidRPr="00B13A25" w:rsidSect="00884149">
      <w:pgSz w:w="11901" w:h="16840" w:code="9"/>
      <w:pgMar w:top="1134" w:right="1418" w:bottom="1134" w:left="1418"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O'Callaghan, Jack (SIG - Business Growth)" w:date="2023-11-16T19:14:00Z" w:initials="JO">
    <w:p w14:paraId="6A0E2CFF" w14:textId="77777777" w:rsidR="00BA00CE" w:rsidRDefault="00BA00CE" w:rsidP="003D1480">
      <w:pPr>
        <w:pStyle w:val="CommentText"/>
      </w:pPr>
      <w:r>
        <w:rPr>
          <w:rStyle w:val="CommentReference"/>
        </w:rPr>
        <w:annotationRef/>
      </w:r>
      <w:r>
        <w:t>Talk a little about UK's productivity puzzle, and the concern around this for policy makers etc.?</w:t>
      </w:r>
    </w:p>
  </w:comment>
  <w:comment w:id="1" w:author="O'Callaghan, Jack (SIG - Business Growth)" w:date="2023-11-16T19:19:00Z" w:initials="JO">
    <w:p w14:paraId="636C27A3" w14:textId="77777777" w:rsidR="0069667E" w:rsidRDefault="0069667E" w:rsidP="00634A29">
      <w:pPr>
        <w:pStyle w:val="CommentText"/>
      </w:pPr>
      <w:r>
        <w:rPr>
          <w:rStyle w:val="CommentReference"/>
        </w:rPr>
        <w:annotationRef/>
      </w:r>
      <w:r>
        <w:t>Maybe explain? They don't like it when you throw terms around without explanation.</w:t>
      </w:r>
    </w:p>
  </w:comment>
  <w:comment w:id="2" w:author="O'Callaghan, Jack (SIG - Business Growth)" w:date="2023-11-16T19:20:00Z" w:initials="JO">
    <w:p w14:paraId="057ED21D" w14:textId="77777777" w:rsidR="0069667E" w:rsidRDefault="0069667E" w:rsidP="00927CD9">
      <w:pPr>
        <w:pStyle w:val="CommentText"/>
      </w:pPr>
      <w:r>
        <w:rPr>
          <w:rStyle w:val="CommentReference"/>
        </w:rPr>
        <w:annotationRef/>
      </w:r>
      <w:r>
        <w:t>GDP output per capita -&gt; output per capita</w:t>
      </w:r>
    </w:p>
  </w:comment>
  <w:comment w:id="3" w:author="O'Callaghan, Jack (SIG - Business Growth)" w:date="2023-11-16T19:21:00Z" w:initials="JO">
    <w:p w14:paraId="0EB339F7" w14:textId="77777777" w:rsidR="0069667E" w:rsidRDefault="0069667E" w:rsidP="00C938B6">
      <w:pPr>
        <w:pStyle w:val="CommentText"/>
      </w:pPr>
      <w:r>
        <w:rPr>
          <w:rStyle w:val="CommentReference"/>
        </w:rPr>
        <w:annotationRef/>
      </w:r>
      <w:r>
        <w:t>Covariance?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6A0E2CFF" w15:done="0"/>
  <w15:commentEx w15:paraId="636C27A3" w15:done="0"/>
  <w15:commentEx w15:paraId="057ED21D" w15:done="0"/>
  <w15:commentEx w15:paraId="0EB339F7" w15:paraIdParent="057ED21D"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1227E53C" w16cex:dateUtc="2023-11-16T19:14:00Z"/>
  <w16cex:commentExtensible w16cex:durableId="7E25F0C9" w16cex:dateUtc="2023-11-16T19:19:00Z"/>
  <w16cex:commentExtensible w16cex:durableId="00CD2D9C" w16cex:dateUtc="2023-11-16T19:20:00Z"/>
  <w16cex:commentExtensible w16cex:durableId="7D156322" w16cex:dateUtc="2023-11-16T19:21: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6A0E2CFF" w16cid:durableId="1227E53C"/>
  <w16cid:commentId w16cid:paraId="636C27A3" w16cid:durableId="7E25F0C9"/>
  <w16cid:commentId w16cid:paraId="057ED21D" w16cid:durableId="00CD2D9C"/>
  <w16cid:commentId w16cid:paraId="0EB339F7" w16cid:durableId="7D15632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94511C" w14:textId="77777777" w:rsidR="006045B8" w:rsidRDefault="006045B8" w:rsidP="00AF2C92">
      <w:r>
        <w:separator/>
      </w:r>
    </w:p>
  </w:endnote>
  <w:endnote w:type="continuationSeparator" w:id="0">
    <w:p w14:paraId="0B28A03F" w14:textId="77777777" w:rsidR="006045B8" w:rsidRDefault="006045B8" w:rsidP="00AF2C9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58365F" w14:textId="77777777" w:rsidR="006045B8" w:rsidRDefault="006045B8" w:rsidP="00AF2C92">
      <w:r>
        <w:separator/>
      </w:r>
    </w:p>
  </w:footnote>
  <w:footnote w:type="continuationSeparator" w:id="0">
    <w:p w14:paraId="77A5AC5D" w14:textId="77777777" w:rsidR="006045B8" w:rsidRDefault="006045B8" w:rsidP="00AF2C92">
      <w:r>
        <w:continuationSeparator/>
      </w:r>
    </w:p>
  </w:footnote>
  <w:footnote w:id="1">
    <w:p w14:paraId="0DFB2CB5" w14:textId="77777777" w:rsidR="00702B4D" w:rsidRDefault="00702B4D" w:rsidP="00186B3C">
      <w:pPr>
        <w:pStyle w:val="FootnoteText"/>
      </w:pPr>
      <w:r>
        <w:rPr>
          <w:rStyle w:val="FootnoteReference"/>
        </w:rPr>
        <w:footnoteRef/>
      </w:r>
      <w:r>
        <w:t xml:space="preserve"> </w:t>
      </w:r>
      <w:r w:rsidRPr="0032190C">
        <w:t>Gurría</w:t>
      </w:r>
      <w:r>
        <w:t xml:space="preserve">, A. (2011) Editorial: Fifty years of change in education [Online], p. 1. Available from </w:t>
      </w:r>
      <w:hyperlink r:id="rId1" w:history="1">
        <w:r w:rsidRPr="00BB6248">
          <w:rPr>
            <w:rStyle w:val="Hyperlink"/>
          </w:rPr>
          <w:t>https://www.oecd.org/education/skills-beyond-school/48642586.pdf</w:t>
        </w:r>
      </w:hyperlink>
      <w:r>
        <w:t xml:space="preserve"> [Accessed 16th November 2023]</w:t>
      </w:r>
    </w:p>
  </w:footnote>
  <w:footnote w:id="2">
    <w:p w14:paraId="7ED4BF45" w14:textId="2C84BC20" w:rsidR="00186B3C" w:rsidRPr="00186B3C" w:rsidRDefault="00186B3C" w:rsidP="00186B3C">
      <w:pPr>
        <w:pStyle w:val="FootnoteText"/>
      </w:pPr>
      <w:r>
        <w:rPr>
          <w:rStyle w:val="FootnoteReference"/>
        </w:rPr>
        <w:footnoteRef/>
      </w:r>
      <w:r>
        <w:t xml:space="preserve"> </w:t>
      </w:r>
      <w:r w:rsidRPr="00186B3C">
        <w:t>rgdpo.pop</w:t>
      </w:r>
      <w:r>
        <w:t xml:space="preserve"> </w:t>
      </w:r>
      <w:r w:rsidRPr="00186B3C">
        <w:t>=</w:t>
      </w:r>
      <w:r>
        <w:t xml:space="preserve"> </w:t>
      </w:r>
      <w:r w:rsidRPr="00186B3C">
        <w:t>Real GDP output per capita</w:t>
      </w:r>
      <w:r>
        <w:t xml:space="preserve">, </w:t>
      </w:r>
      <w:r w:rsidRPr="00186B3C">
        <w:t>rgdpo.pop.roll</w:t>
      </w:r>
      <w:r>
        <w:t xml:space="preserve"> </w:t>
      </w:r>
      <w:r w:rsidRPr="00186B3C">
        <w:t>=</w:t>
      </w:r>
      <w:r>
        <w:t xml:space="preserve"> </w:t>
      </w:r>
      <w:r w:rsidRPr="00186B3C">
        <w:t>Rolling five year average of real GDP output per capita</w:t>
      </w:r>
      <w:r>
        <w:t xml:space="preserve">, </w:t>
      </w:r>
      <w:r w:rsidRPr="00186B3C">
        <w:t>B</w:t>
      </w:r>
      <w:r w:rsidRPr="00186B3C">
        <w:rPr>
          <w:vertAlign w:val="subscript"/>
        </w:rPr>
        <w:t>0</w:t>
      </w:r>
      <w:r>
        <w:t xml:space="preserve"> </w:t>
      </w:r>
      <w:r w:rsidRPr="00186B3C">
        <w:t>=</w:t>
      </w:r>
      <w:r>
        <w:t xml:space="preserve"> </w:t>
      </w:r>
      <w:r w:rsidRPr="00186B3C">
        <w:t>Model constant</w:t>
      </w:r>
      <w:r>
        <w:t xml:space="preserve">, </w:t>
      </w:r>
      <w:r w:rsidRPr="00186B3C">
        <w:t>year</w:t>
      </w:r>
      <w:r w:rsidRPr="00186B3C">
        <w:rPr>
          <w:vertAlign w:val="subscript"/>
        </w:rPr>
        <w:t>orig</w:t>
      </w:r>
      <w:r>
        <w:rPr>
          <w:vertAlign w:val="subscript"/>
        </w:rPr>
        <w:t xml:space="preserve"> </w:t>
      </w:r>
      <w:r w:rsidRPr="00186B3C">
        <w:t>=</w:t>
      </w:r>
      <w:r>
        <w:t xml:space="preserve"> </w:t>
      </w:r>
      <w:r w:rsidRPr="00186B3C">
        <w:t>Number of years since 1970</w:t>
      </w:r>
      <w:r>
        <w:t xml:space="preserve">, </w:t>
      </w:r>
      <w:r w:rsidRPr="00186B3C">
        <w:t>yrs</w:t>
      </w:r>
      <w:r w:rsidRPr="00186B3C">
        <w:rPr>
          <w:vertAlign w:val="subscript"/>
        </w:rPr>
        <w:t>sch</w:t>
      </w:r>
      <w:r>
        <w:rPr>
          <w:vertAlign w:val="subscript"/>
        </w:rPr>
        <w:t xml:space="preserve"> </w:t>
      </w:r>
      <w:r w:rsidRPr="00186B3C">
        <w:t>=</w:t>
      </w:r>
      <w:r>
        <w:t xml:space="preserve"> </w:t>
      </w:r>
      <w:r w:rsidRPr="00186B3C">
        <w:t>Average number of years of education</w:t>
      </w:r>
      <w:r>
        <w:t xml:space="preserve">, </w:t>
      </w:r>
      <w:r w:rsidRPr="00186B3C">
        <w:t>voc</w:t>
      </w:r>
      <w:r>
        <w:t xml:space="preserve"> </w:t>
      </w:r>
      <w:r w:rsidRPr="00186B3C">
        <w:t>=</w:t>
      </w:r>
      <w:r>
        <w:t xml:space="preserve"> Dummy</w:t>
      </w:r>
      <w:r w:rsidRPr="00186B3C">
        <w:t xml:space="preserve"> variable:</w:t>
      </w:r>
      <w:r>
        <w:t xml:space="preserve"> ‘</w:t>
      </w:r>
      <w:r w:rsidRPr="00186B3C">
        <w:t>Is the share of students in vocational education above the EU average?</w:t>
      </w:r>
      <w:r>
        <w:t xml:space="preserve">’, </w:t>
      </w:r>
      <w:r w:rsidRPr="00186B3C">
        <w:t>voc</w:t>
      </w:r>
      <w:r w:rsidRPr="00186B3C">
        <w:rPr>
          <w:vertAlign w:val="subscript"/>
        </w:rPr>
        <w:t>pc</w:t>
      </w:r>
      <w:r>
        <w:t xml:space="preserve"> </w:t>
      </w:r>
      <w:r w:rsidRPr="00186B3C">
        <w:t>=</w:t>
      </w:r>
      <w:r>
        <w:t xml:space="preserve"> </w:t>
      </w:r>
      <w:r w:rsidRPr="00186B3C">
        <w:t>Share of students in vocational education</w:t>
      </w:r>
      <w:r>
        <w:t xml:space="preserve">, </w:t>
      </w:r>
      <w:r w:rsidRPr="00186B3C">
        <w:t>ctfp</w:t>
      </w:r>
      <w:r>
        <w:t xml:space="preserve"> </w:t>
      </w:r>
      <w:r w:rsidRPr="00186B3C">
        <w:t>=</w:t>
      </w:r>
      <w:r>
        <w:t xml:space="preserve"> </w:t>
      </w:r>
      <w:r w:rsidRPr="00186B3C">
        <w:t xml:space="preserve">Current </w:t>
      </w:r>
      <w:r>
        <w:t>t</w:t>
      </w:r>
      <w:r w:rsidRPr="00186B3C">
        <w:t xml:space="preserve">otal </w:t>
      </w:r>
      <w:r>
        <w:t>f</w:t>
      </w:r>
      <w:r w:rsidRPr="00186B3C">
        <w:t xml:space="preserve">actor </w:t>
      </w:r>
      <w:r>
        <w:t>p</w:t>
      </w:r>
      <w:r w:rsidRPr="00186B3C">
        <w:t>roductivity</w:t>
      </w:r>
      <w:r>
        <w:t>, D</w:t>
      </w:r>
      <w:r>
        <w:rPr>
          <w:vertAlign w:val="subscript"/>
        </w:rPr>
        <w:t>2010</w:t>
      </w:r>
      <w:r>
        <w:t xml:space="preserve"> = Dummy variable for the year 2010, </w:t>
      </w:r>
      <w:r w:rsidRPr="00186B3C">
        <w:t>ε</w:t>
      </w:r>
      <w:r>
        <w:t xml:space="preserve"> </w:t>
      </w:r>
      <w:r w:rsidRPr="00186B3C">
        <w:t>=</w:t>
      </w:r>
      <w:r>
        <w:t xml:space="preserve"> </w:t>
      </w:r>
      <w:r w:rsidRPr="00186B3C">
        <w:t>Error term</w:t>
      </w:r>
    </w:p>
  </w:footnote>
  <w:footnote w:id="3">
    <w:p w14:paraId="6E8932D5" w14:textId="77777777" w:rsidR="00AF4234" w:rsidRDefault="00AF4234" w:rsidP="00186B3C">
      <w:pPr>
        <w:pStyle w:val="FootnoteText"/>
      </w:pPr>
      <w:r>
        <w:rPr>
          <w:rStyle w:val="FootnoteReference"/>
        </w:rPr>
        <w:footnoteRef/>
      </w:r>
      <w:r>
        <w:t xml:space="preserve"> Oulton, N. and</w:t>
      </w:r>
      <w:r w:rsidRPr="00414773">
        <w:t xml:space="preserve"> Sebastiá-Barriel</w:t>
      </w:r>
      <w:r>
        <w:t>, M</w:t>
      </w:r>
      <w:r w:rsidRPr="00BF0F0C">
        <w:t>. (201</w:t>
      </w:r>
      <w:r>
        <w:t>3</w:t>
      </w:r>
      <w:r w:rsidRPr="00BF0F0C">
        <w:t xml:space="preserve">) </w:t>
      </w:r>
      <w:r>
        <w:t>Long and short-term effects of the financial crisis on labour productivity, capital and output</w:t>
      </w:r>
      <w:r w:rsidRPr="00BF0F0C">
        <w:t xml:space="preserve"> [Online], p. </w:t>
      </w:r>
      <w:r>
        <w:t>2</w:t>
      </w:r>
      <w:r w:rsidRPr="00BF0F0C">
        <w:t xml:space="preserve">. Available from </w:t>
      </w:r>
      <w:hyperlink r:id="rId2" w:history="1">
        <w:r w:rsidRPr="001208D4">
          <w:rPr>
            <w:rStyle w:val="Hyperlink"/>
          </w:rPr>
          <w:t>https://www.bankofengland.co.uk/working-paper/2013/long-and-short-term-effects-of-the-financial-crisis-on-labour-productivity-capital-and-output</w:t>
        </w:r>
      </w:hyperlink>
      <w:r>
        <w:t xml:space="preserve"> </w:t>
      </w:r>
      <w:r w:rsidRPr="00BF0F0C">
        <w:t>[Accessed 16th November 2023]</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B0D4262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B1FECAFE"/>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7C74E2DA"/>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E8F228E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A274B1E8"/>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2442F1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79147BCA"/>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594C1B5A"/>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34C6DA04"/>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C472E25E"/>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5DC819AE"/>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05CC0843"/>
    <w:multiLevelType w:val="multilevel"/>
    <w:tmpl w:val="9426EBB6"/>
    <w:lvl w:ilvl="0">
      <w:start w:val="1"/>
      <w:numFmt w:val="decimal"/>
      <w:lvlText w:val="(%1)"/>
      <w:lvlJc w:val="right"/>
      <w:pPr>
        <w:ind w:left="720" w:hanging="181"/>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D0E765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F413159"/>
    <w:multiLevelType w:val="multilevel"/>
    <w:tmpl w:val="30C08770"/>
    <w:lvl w:ilvl="0">
      <w:start w:val="1"/>
      <w:numFmt w:val="decimal"/>
      <w:lvlText w:val="(%1)"/>
      <w:lvlJc w:val="right"/>
      <w:pPr>
        <w:ind w:left="720" w:hanging="153"/>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15:restartNumberingAfterBreak="0">
    <w:nsid w:val="1FBD58E1"/>
    <w:multiLevelType w:val="multilevel"/>
    <w:tmpl w:val="1B88B870"/>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27E8289F"/>
    <w:multiLevelType w:val="hybridMultilevel"/>
    <w:tmpl w:val="E976D66C"/>
    <w:lvl w:ilvl="0" w:tplc="0CDA7214">
      <w:start w:val="1"/>
      <w:numFmt w:val="decimal"/>
      <w:lvlText w:val="(%1)"/>
      <w:lvlJc w:val="left"/>
      <w:pPr>
        <w:tabs>
          <w:tab w:val="num" w:pos="720"/>
        </w:tabs>
        <w:ind w:left="720" w:hanging="360"/>
      </w:pPr>
      <w:rPr>
        <w:rFonts w:hint="default"/>
      </w:rPr>
    </w:lvl>
    <w:lvl w:ilvl="1" w:tplc="08090019" w:tentative="1">
      <w:start w:val="1"/>
      <w:numFmt w:val="lowerLetter"/>
      <w:lvlText w:val="%2."/>
      <w:lvlJc w:val="left"/>
      <w:pPr>
        <w:tabs>
          <w:tab w:val="num" w:pos="1440"/>
        </w:tabs>
        <w:ind w:left="1440" w:hanging="360"/>
      </w:pPr>
    </w:lvl>
    <w:lvl w:ilvl="2" w:tplc="0809001B" w:tentative="1">
      <w:start w:val="1"/>
      <w:numFmt w:val="lowerRoman"/>
      <w:lvlText w:val="%3."/>
      <w:lvlJc w:val="right"/>
      <w:pPr>
        <w:tabs>
          <w:tab w:val="num" w:pos="2160"/>
        </w:tabs>
        <w:ind w:left="2160" w:hanging="180"/>
      </w:pPr>
    </w:lvl>
    <w:lvl w:ilvl="3" w:tplc="0809000F" w:tentative="1">
      <w:start w:val="1"/>
      <w:numFmt w:val="decimal"/>
      <w:lvlText w:val="%4."/>
      <w:lvlJc w:val="left"/>
      <w:pPr>
        <w:tabs>
          <w:tab w:val="num" w:pos="2880"/>
        </w:tabs>
        <w:ind w:left="2880" w:hanging="360"/>
      </w:pPr>
    </w:lvl>
    <w:lvl w:ilvl="4" w:tplc="08090019" w:tentative="1">
      <w:start w:val="1"/>
      <w:numFmt w:val="lowerLetter"/>
      <w:lvlText w:val="%5."/>
      <w:lvlJc w:val="left"/>
      <w:pPr>
        <w:tabs>
          <w:tab w:val="num" w:pos="3600"/>
        </w:tabs>
        <w:ind w:left="3600" w:hanging="360"/>
      </w:pPr>
    </w:lvl>
    <w:lvl w:ilvl="5" w:tplc="0809001B" w:tentative="1">
      <w:start w:val="1"/>
      <w:numFmt w:val="lowerRoman"/>
      <w:lvlText w:val="%6."/>
      <w:lvlJc w:val="right"/>
      <w:pPr>
        <w:tabs>
          <w:tab w:val="num" w:pos="4320"/>
        </w:tabs>
        <w:ind w:left="4320" w:hanging="180"/>
      </w:pPr>
    </w:lvl>
    <w:lvl w:ilvl="6" w:tplc="0809000F" w:tentative="1">
      <w:start w:val="1"/>
      <w:numFmt w:val="decimal"/>
      <w:lvlText w:val="%7."/>
      <w:lvlJc w:val="left"/>
      <w:pPr>
        <w:tabs>
          <w:tab w:val="num" w:pos="5040"/>
        </w:tabs>
        <w:ind w:left="5040" w:hanging="360"/>
      </w:pPr>
    </w:lvl>
    <w:lvl w:ilvl="7" w:tplc="08090019" w:tentative="1">
      <w:start w:val="1"/>
      <w:numFmt w:val="lowerLetter"/>
      <w:lvlText w:val="%8."/>
      <w:lvlJc w:val="left"/>
      <w:pPr>
        <w:tabs>
          <w:tab w:val="num" w:pos="5760"/>
        </w:tabs>
        <w:ind w:left="5760" w:hanging="360"/>
      </w:pPr>
    </w:lvl>
    <w:lvl w:ilvl="8" w:tplc="0809001B" w:tentative="1">
      <w:start w:val="1"/>
      <w:numFmt w:val="lowerRoman"/>
      <w:lvlText w:val="%9."/>
      <w:lvlJc w:val="right"/>
      <w:pPr>
        <w:tabs>
          <w:tab w:val="num" w:pos="6480"/>
        </w:tabs>
        <w:ind w:left="6480" w:hanging="180"/>
      </w:pPr>
    </w:lvl>
  </w:abstractNum>
  <w:abstractNum w:abstractNumId="16" w15:restartNumberingAfterBreak="0">
    <w:nsid w:val="389B5003"/>
    <w:multiLevelType w:val="multilevel"/>
    <w:tmpl w:val="DD5255FA"/>
    <w:lvl w:ilvl="0">
      <w:start w:val="1"/>
      <w:numFmt w:val="decimal"/>
      <w:lvlText w:val="(%1)"/>
      <w:lvlJc w:val="left"/>
      <w:pPr>
        <w:ind w:left="720" w:hanging="45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3C5D0C07"/>
    <w:multiLevelType w:val="hybridMultilevel"/>
    <w:tmpl w:val="4CA02766"/>
    <w:lvl w:ilvl="0" w:tplc="79367BA0">
      <w:start w:val="1"/>
      <w:numFmt w:val="decimal"/>
      <w:pStyle w:val="Numberedlist"/>
      <w:lvlText w:val="(%1)"/>
      <w:lvlJc w:val="right"/>
      <w:pPr>
        <w:ind w:left="720" w:hanging="153"/>
      </w:pPr>
      <w:rPr>
        <w:rFonts w:hint="default"/>
      </w:rPr>
    </w:lvl>
    <w:lvl w:ilvl="1" w:tplc="FE3AC208">
      <w:start w:val="1"/>
      <w:numFmt w:val="lowerLetter"/>
      <w:lvlText w:val="(%2)"/>
      <w:lvlJc w:val="left"/>
      <w:pPr>
        <w:ind w:left="1440" w:hanging="360"/>
      </w:pPr>
      <w:rPr>
        <w:rFonts w:hint="default"/>
      </w:rPr>
    </w:lvl>
    <w:lvl w:ilvl="2" w:tplc="77E4D7DE">
      <w:start w:val="1"/>
      <w:numFmt w:val="lowerRoman"/>
      <w:lvlText w:val="(%3)"/>
      <w:lvlJc w:val="right"/>
      <w:pPr>
        <w:ind w:left="2160" w:hanging="180"/>
      </w:pPr>
      <w:rPr>
        <w:rFonts w:hint="default"/>
      </w:r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3D4A71FF"/>
    <w:multiLevelType w:val="hybridMultilevel"/>
    <w:tmpl w:val="CADCD1BE"/>
    <w:lvl w:ilvl="0" w:tplc="0809000F">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9" w15:restartNumberingAfterBreak="0">
    <w:nsid w:val="5838135E"/>
    <w:multiLevelType w:val="hybridMultilevel"/>
    <w:tmpl w:val="68EEE13A"/>
    <w:lvl w:ilvl="0" w:tplc="08090001">
      <w:start w:val="1"/>
      <w:numFmt w:val="bullet"/>
      <w:lvlText w:val=""/>
      <w:lvlJc w:val="left"/>
      <w:pPr>
        <w:tabs>
          <w:tab w:val="num" w:pos="720"/>
        </w:tabs>
        <w:ind w:left="720" w:hanging="360"/>
      </w:pPr>
      <w:rPr>
        <w:rFonts w:ascii="Symbol" w:hAnsi="Symbol" w:hint="default"/>
      </w:rPr>
    </w:lvl>
    <w:lvl w:ilvl="1" w:tplc="08090003" w:tentative="1">
      <w:start w:val="1"/>
      <w:numFmt w:val="bullet"/>
      <w:lvlText w:val="o"/>
      <w:lvlJc w:val="left"/>
      <w:pPr>
        <w:tabs>
          <w:tab w:val="num" w:pos="1440"/>
        </w:tabs>
        <w:ind w:left="1440" w:hanging="360"/>
      </w:pPr>
      <w:rPr>
        <w:rFonts w:ascii="Courier New" w:hAnsi="Courier New" w:cs="Arial"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Arial"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Arial"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5BD96BF8"/>
    <w:multiLevelType w:val="hybridMultilevel"/>
    <w:tmpl w:val="76D2C65A"/>
    <w:lvl w:ilvl="0" w:tplc="0456C424">
      <w:start w:val="1"/>
      <w:numFmt w:val="bullet"/>
      <w:pStyle w:val="Bulleted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Arial"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Arial"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Arial"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DD751B3"/>
    <w:multiLevelType w:val="hybridMultilevel"/>
    <w:tmpl w:val="57082860"/>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2" w15:restartNumberingAfterBreak="0">
    <w:nsid w:val="63FA38AF"/>
    <w:multiLevelType w:val="hybridMultilevel"/>
    <w:tmpl w:val="C96A95C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3" w15:restartNumberingAfterBreak="0">
    <w:nsid w:val="6D9373AB"/>
    <w:multiLevelType w:val="multilevel"/>
    <w:tmpl w:val="B89CB32C"/>
    <w:lvl w:ilvl="0">
      <w:start w:val="1"/>
      <w:numFmt w:val="decimal"/>
      <w:lvlText w:val="(%1)"/>
      <w:lvlJc w:val="right"/>
      <w:pPr>
        <w:ind w:left="720" w:hanging="153"/>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1985621553">
    <w:abstractNumId w:val="15"/>
  </w:num>
  <w:num w:numId="2" w16cid:durableId="989097317">
    <w:abstractNumId w:val="19"/>
  </w:num>
  <w:num w:numId="3" w16cid:durableId="13072230">
    <w:abstractNumId w:val="1"/>
  </w:num>
  <w:num w:numId="4" w16cid:durableId="1781800358">
    <w:abstractNumId w:val="2"/>
  </w:num>
  <w:num w:numId="5" w16cid:durableId="469901797">
    <w:abstractNumId w:val="3"/>
  </w:num>
  <w:num w:numId="6" w16cid:durableId="648293106">
    <w:abstractNumId w:val="4"/>
  </w:num>
  <w:num w:numId="7" w16cid:durableId="1088191204">
    <w:abstractNumId w:val="9"/>
  </w:num>
  <w:num w:numId="8" w16cid:durableId="1254827395">
    <w:abstractNumId w:val="5"/>
  </w:num>
  <w:num w:numId="9" w16cid:durableId="157771731">
    <w:abstractNumId w:val="7"/>
  </w:num>
  <w:num w:numId="10" w16cid:durableId="1033578443">
    <w:abstractNumId w:val="6"/>
  </w:num>
  <w:num w:numId="11" w16cid:durableId="1113790672">
    <w:abstractNumId w:val="10"/>
  </w:num>
  <w:num w:numId="12" w16cid:durableId="1706976401">
    <w:abstractNumId w:val="8"/>
  </w:num>
  <w:num w:numId="13" w16cid:durableId="922494379">
    <w:abstractNumId w:val="17"/>
  </w:num>
  <w:num w:numId="14" w16cid:durableId="2103868808">
    <w:abstractNumId w:val="20"/>
  </w:num>
  <w:num w:numId="15" w16cid:durableId="1253472275">
    <w:abstractNumId w:val="14"/>
  </w:num>
  <w:num w:numId="16" w16cid:durableId="53049266">
    <w:abstractNumId w:val="16"/>
  </w:num>
  <w:num w:numId="17" w16cid:durableId="1958415866">
    <w:abstractNumId w:val="11"/>
  </w:num>
  <w:num w:numId="18" w16cid:durableId="986907268">
    <w:abstractNumId w:val="0"/>
  </w:num>
  <w:num w:numId="19" w16cid:durableId="1976713838">
    <w:abstractNumId w:val="12"/>
  </w:num>
  <w:num w:numId="20" w16cid:durableId="2105026309">
    <w:abstractNumId w:val="20"/>
  </w:num>
  <w:num w:numId="21" w16cid:durableId="1105423645">
    <w:abstractNumId w:val="20"/>
  </w:num>
  <w:num w:numId="22" w16cid:durableId="1904102322">
    <w:abstractNumId w:val="20"/>
  </w:num>
  <w:num w:numId="23" w16cid:durableId="240337186">
    <w:abstractNumId w:val="20"/>
  </w:num>
  <w:num w:numId="24" w16cid:durableId="1491797909">
    <w:abstractNumId w:val="17"/>
  </w:num>
  <w:num w:numId="25" w16cid:durableId="704449889">
    <w:abstractNumId w:val="18"/>
  </w:num>
  <w:num w:numId="26" w16cid:durableId="135149045">
    <w:abstractNumId w:val="21"/>
  </w:num>
  <w:num w:numId="27" w16cid:durableId="853688558">
    <w:abstractNumId w:val="22"/>
  </w:num>
  <w:num w:numId="28" w16cid:durableId="1568225668">
    <w:abstractNumId w:val="20"/>
  </w:num>
  <w:num w:numId="29" w16cid:durableId="1588683786">
    <w:abstractNumId w:val="13"/>
  </w:num>
  <w:num w:numId="30" w16cid:durableId="1264413891">
    <w:abstractNumId w:val="2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O'Callaghan, Jack (SIG - Business Growth)">
    <w15:presenceInfo w15:providerId="AD" w15:userId="S::Jack.OCallaghan@beis.gov.uk::db100412-4a10-4e4b-b7b3-fb1606b531a8"/>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attachedTemplate r:id="rId1"/>
  <w:stylePaneFormatFilter w:val="1008" w:allStyles="0" w:customStyles="0" w:latentStyles="0" w:stylesInUse="1"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3FF9"/>
    <w:rsid w:val="00001899"/>
    <w:rsid w:val="000049AD"/>
    <w:rsid w:val="0000681B"/>
    <w:rsid w:val="000133C0"/>
    <w:rsid w:val="00014C4E"/>
    <w:rsid w:val="00015FC4"/>
    <w:rsid w:val="00017107"/>
    <w:rsid w:val="000202E2"/>
    <w:rsid w:val="00020391"/>
    <w:rsid w:val="000207CB"/>
    <w:rsid w:val="00022441"/>
    <w:rsid w:val="0002261E"/>
    <w:rsid w:val="00024839"/>
    <w:rsid w:val="00026871"/>
    <w:rsid w:val="00034B25"/>
    <w:rsid w:val="00037A98"/>
    <w:rsid w:val="000427FB"/>
    <w:rsid w:val="0004455E"/>
    <w:rsid w:val="00047CB5"/>
    <w:rsid w:val="00051FAA"/>
    <w:rsid w:val="000572A9"/>
    <w:rsid w:val="00061325"/>
    <w:rsid w:val="000733AC"/>
    <w:rsid w:val="00074B81"/>
    <w:rsid w:val="00074D22"/>
    <w:rsid w:val="00075081"/>
    <w:rsid w:val="0007528A"/>
    <w:rsid w:val="000811AB"/>
    <w:rsid w:val="00083C5F"/>
    <w:rsid w:val="0009172C"/>
    <w:rsid w:val="000930EC"/>
    <w:rsid w:val="00095E61"/>
    <w:rsid w:val="000966C1"/>
    <w:rsid w:val="000970AC"/>
    <w:rsid w:val="000A1167"/>
    <w:rsid w:val="000A4428"/>
    <w:rsid w:val="000A6D40"/>
    <w:rsid w:val="000A7BC3"/>
    <w:rsid w:val="000B1661"/>
    <w:rsid w:val="000B1F0B"/>
    <w:rsid w:val="000B2E88"/>
    <w:rsid w:val="000B4603"/>
    <w:rsid w:val="000C09BE"/>
    <w:rsid w:val="000C1380"/>
    <w:rsid w:val="000C554F"/>
    <w:rsid w:val="000C7894"/>
    <w:rsid w:val="000D0DC5"/>
    <w:rsid w:val="000D15FF"/>
    <w:rsid w:val="000D28DF"/>
    <w:rsid w:val="000D488B"/>
    <w:rsid w:val="000D68DF"/>
    <w:rsid w:val="000E138D"/>
    <w:rsid w:val="000E187A"/>
    <w:rsid w:val="000E2D61"/>
    <w:rsid w:val="000E450E"/>
    <w:rsid w:val="000E6259"/>
    <w:rsid w:val="000F162A"/>
    <w:rsid w:val="000F4677"/>
    <w:rsid w:val="000F5BE0"/>
    <w:rsid w:val="00100587"/>
    <w:rsid w:val="0010284E"/>
    <w:rsid w:val="00103122"/>
    <w:rsid w:val="0010336A"/>
    <w:rsid w:val="001044C0"/>
    <w:rsid w:val="001050F1"/>
    <w:rsid w:val="00105AEA"/>
    <w:rsid w:val="00106DAF"/>
    <w:rsid w:val="00114ABE"/>
    <w:rsid w:val="00116023"/>
    <w:rsid w:val="00134A51"/>
    <w:rsid w:val="00140727"/>
    <w:rsid w:val="00160628"/>
    <w:rsid w:val="00161344"/>
    <w:rsid w:val="00162195"/>
    <w:rsid w:val="0016322A"/>
    <w:rsid w:val="00165A21"/>
    <w:rsid w:val="001705CE"/>
    <w:rsid w:val="0017714B"/>
    <w:rsid w:val="001804DF"/>
    <w:rsid w:val="00181BDC"/>
    <w:rsid w:val="00181DB0"/>
    <w:rsid w:val="001829E3"/>
    <w:rsid w:val="00186B3C"/>
    <w:rsid w:val="001924C0"/>
    <w:rsid w:val="0019731E"/>
    <w:rsid w:val="001A09FE"/>
    <w:rsid w:val="001A67C9"/>
    <w:rsid w:val="001A69DE"/>
    <w:rsid w:val="001A713C"/>
    <w:rsid w:val="001B1C7C"/>
    <w:rsid w:val="001B398F"/>
    <w:rsid w:val="001B46C6"/>
    <w:rsid w:val="001B4B48"/>
    <w:rsid w:val="001B4D1F"/>
    <w:rsid w:val="001B7681"/>
    <w:rsid w:val="001B7CAE"/>
    <w:rsid w:val="001C0772"/>
    <w:rsid w:val="001C0D4F"/>
    <w:rsid w:val="001C1BA3"/>
    <w:rsid w:val="001C1DEC"/>
    <w:rsid w:val="001C5736"/>
    <w:rsid w:val="001D647F"/>
    <w:rsid w:val="001D6857"/>
    <w:rsid w:val="001E0572"/>
    <w:rsid w:val="001E0A67"/>
    <w:rsid w:val="001E1028"/>
    <w:rsid w:val="001E14E2"/>
    <w:rsid w:val="001E6302"/>
    <w:rsid w:val="001E7DCB"/>
    <w:rsid w:val="001F3411"/>
    <w:rsid w:val="001F4287"/>
    <w:rsid w:val="001F4DBA"/>
    <w:rsid w:val="0020415E"/>
    <w:rsid w:val="00204FF4"/>
    <w:rsid w:val="0021056E"/>
    <w:rsid w:val="0021075D"/>
    <w:rsid w:val="002111B0"/>
    <w:rsid w:val="0021165A"/>
    <w:rsid w:val="00211BC9"/>
    <w:rsid w:val="0021620C"/>
    <w:rsid w:val="00216E78"/>
    <w:rsid w:val="00217275"/>
    <w:rsid w:val="002211DD"/>
    <w:rsid w:val="00236F4B"/>
    <w:rsid w:val="00242B0D"/>
    <w:rsid w:val="002467C6"/>
    <w:rsid w:val="0024692A"/>
    <w:rsid w:val="00252BBA"/>
    <w:rsid w:val="00253123"/>
    <w:rsid w:val="00264001"/>
    <w:rsid w:val="00266354"/>
    <w:rsid w:val="00267A18"/>
    <w:rsid w:val="00272D49"/>
    <w:rsid w:val="00273462"/>
    <w:rsid w:val="0027395B"/>
    <w:rsid w:val="00275854"/>
    <w:rsid w:val="00283B41"/>
    <w:rsid w:val="00285F28"/>
    <w:rsid w:val="00286398"/>
    <w:rsid w:val="002A1A3E"/>
    <w:rsid w:val="002A3C42"/>
    <w:rsid w:val="002A5D75"/>
    <w:rsid w:val="002B1B1A"/>
    <w:rsid w:val="002B33C4"/>
    <w:rsid w:val="002B7228"/>
    <w:rsid w:val="002C0590"/>
    <w:rsid w:val="002C53EE"/>
    <w:rsid w:val="002D24F7"/>
    <w:rsid w:val="002D2799"/>
    <w:rsid w:val="002D2CD7"/>
    <w:rsid w:val="002D4DDC"/>
    <w:rsid w:val="002D4F75"/>
    <w:rsid w:val="002D6493"/>
    <w:rsid w:val="002D7AB6"/>
    <w:rsid w:val="002E06D0"/>
    <w:rsid w:val="002E1BB0"/>
    <w:rsid w:val="002E3C27"/>
    <w:rsid w:val="002E403A"/>
    <w:rsid w:val="002E7F3A"/>
    <w:rsid w:val="002F4EDB"/>
    <w:rsid w:val="002F6054"/>
    <w:rsid w:val="00310E13"/>
    <w:rsid w:val="00315713"/>
    <w:rsid w:val="0031686C"/>
    <w:rsid w:val="00316FE0"/>
    <w:rsid w:val="003204D2"/>
    <w:rsid w:val="0032605E"/>
    <w:rsid w:val="003275D1"/>
    <w:rsid w:val="00330B2A"/>
    <w:rsid w:val="00331E17"/>
    <w:rsid w:val="00333063"/>
    <w:rsid w:val="003408E3"/>
    <w:rsid w:val="00343480"/>
    <w:rsid w:val="00345E89"/>
    <w:rsid w:val="003522A1"/>
    <w:rsid w:val="0035254B"/>
    <w:rsid w:val="00353555"/>
    <w:rsid w:val="00354153"/>
    <w:rsid w:val="003565D4"/>
    <w:rsid w:val="003607FB"/>
    <w:rsid w:val="00360FD5"/>
    <w:rsid w:val="0036340D"/>
    <w:rsid w:val="003634A5"/>
    <w:rsid w:val="00366868"/>
    <w:rsid w:val="00367506"/>
    <w:rsid w:val="00370085"/>
    <w:rsid w:val="003744A7"/>
    <w:rsid w:val="00376235"/>
    <w:rsid w:val="00381FB6"/>
    <w:rsid w:val="003836D3"/>
    <w:rsid w:val="00383A52"/>
    <w:rsid w:val="00391652"/>
    <w:rsid w:val="0039507F"/>
    <w:rsid w:val="003A1260"/>
    <w:rsid w:val="003A295F"/>
    <w:rsid w:val="003A41DD"/>
    <w:rsid w:val="003A7033"/>
    <w:rsid w:val="003B47FE"/>
    <w:rsid w:val="003B5673"/>
    <w:rsid w:val="003B6287"/>
    <w:rsid w:val="003B62C9"/>
    <w:rsid w:val="003C7176"/>
    <w:rsid w:val="003D0929"/>
    <w:rsid w:val="003D4729"/>
    <w:rsid w:val="003D7DD6"/>
    <w:rsid w:val="003E5AAF"/>
    <w:rsid w:val="003E600D"/>
    <w:rsid w:val="003E64DF"/>
    <w:rsid w:val="003E6A5D"/>
    <w:rsid w:val="003F193A"/>
    <w:rsid w:val="003F4207"/>
    <w:rsid w:val="003F5C46"/>
    <w:rsid w:val="003F7CBB"/>
    <w:rsid w:val="003F7D34"/>
    <w:rsid w:val="00412C8E"/>
    <w:rsid w:val="0041518D"/>
    <w:rsid w:val="0042221D"/>
    <w:rsid w:val="00424DD3"/>
    <w:rsid w:val="004269C5"/>
    <w:rsid w:val="00433839"/>
    <w:rsid w:val="00435939"/>
    <w:rsid w:val="00437CC7"/>
    <w:rsid w:val="00442B9C"/>
    <w:rsid w:val="00445EFA"/>
    <w:rsid w:val="0044738A"/>
    <w:rsid w:val="004473D3"/>
    <w:rsid w:val="00452231"/>
    <w:rsid w:val="0045510D"/>
    <w:rsid w:val="00460C13"/>
    <w:rsid w:val="00463228"/>
    <w:rsid w:val="00463782"/>
    <w:rsid w:val="004667E0"/>
    <w:rsid w:val="0046760E"/>
    <w:rsid w:val="00470E10"/>
    <w:rsid w:val="00477A97"/>
    <w:rsid w:val="00481343"/>
    <w:rsid w:val="0048549E"/>
    <w:rsid w:val="004930C6"/>
    <w:rsid w:val="00493347"/>
    <w:rsid w:val="00496092"/>
    <w:rsid w:val="004A08DB"/>
    <w:rsid w:val="004A25D0"/>
    <w:rsid w:val="004A37E8"/>
    <w:rsid w:val="004A7549"/>
    <w:rsid w:val="004B09D4"/>
    <w:rsid w:val="004B309D"/>
    <w:rsid w:val="004B330A"/>
    <w:rsid w:val="004B7C8E"/>
    <w:rsid w:val="004C3D3C"/>
    <w:rsid w:val="004D0EDC"/>
    <w:rsid w:val="004D1220"/>
    <w:rsid w:val="004D14B3"/>
    <w:rsid w:val="004D1529"/>
    <w:rsid w:val="004D2253"/>
    <w:rsid w:val="004D5514"/>
    <w:rsid w:val="004D56C3"/>
    <w:rsid w:val="004E0338"/>
    <w:rsid w:val="004E4FF3"/>
    <w:rsid w:val="004E56A8"/>
    <w:rsid w:val="004F3B55"/>
    <w:rsid w:val="004F428E"/>
    <w:rsid w:val="004F4E46"/>
    <w:rsid w:val="004F6B7D"/>
    <w:rsid w:val="005015F6"/>
    <w:rsid w:val="0050187C"/>
    <w:rsid w:val="005030C4"/>
    <w:rsid w:val="005031C5"/>
    <w:rsid w:val="0050362B"/>
    <w:rsid w:val="00504FDC"/>
    <w:rsid w:val="005120CC"/>
    <w:rsid w:val="00512B7B"/>
    <w:rsid w:val="00514EA1"/>
    <w:rsid w:val="0051798B"/>
    <w:rsid w:val="00521F5A"/>
    <w:rsid w:val="00525E06"/>
    <w:rsid w:val="00526454"/>
    <w:rsid w:val="00531823"/>
    <w:rsid w:val="00534ECC"/>
    <w:rsid w:val="0053720D"/>
    <w:rsid w:val="00540EF5"/>
    <w:rsid w:val="00541BF3"/>
    <w:rsid w:val="00541CD3"/>
    <w:rsid w:val="005476FA"/>
    <w:rsid w:val="0055595E"/>
    <w:rsid w:val="00555DFA"/>
    <w:rsid w:val="00557988"/>
    <w:rsid w:val="00562C49"/>
    <w:rsid w:val="00562DEF"/>
    <w:rsid w:val="0056321A"/>
    <w:rsid w:val="00563A35"/>
    <w:rsid w:val="00566596"/>
    <w:rsid w:val="005741E9"/>
    <w:rsid w:val="005748CF"/>
    <w:rsid w:val="00584270"/>
    <w:rsid w:val="00584738"/>
    <w:rsid w:val="005920B0"/>
    <w:rsid w:val="0059380D"/>
    <w:rsid w:val="00595A8F"/>
    <w:rsid w:val="005977C2"/>
    <w:rsid w:val="00597BF2"/>
    <w:rsid w:val="005A1F54"/>
    <w:rsid w:val="005A3020"/>
    <w:rsid w:val="005B134E"/>
    <w:rsid w:val="005B1EA8"/>
    <w:rsid w:val="005B2039"/>
    <w:rsid w:val="005B344F"/>
    <w:rsid w:val="005B3FBA"/>
    <w:rsid w:val="005B4A1D"/>
    <w:rsid w:val="005B674D"/>
    <w:rsid w:val="005C056D"/>
    <w:rsid w:val="005C0CBE"/>
    <w:rsid w:val="005C18C8"/>
    <w:rsid w:val="005C1FCF"/>
    <w:rsid w:val="005C3F41"/>
    <w:rsid w:val="005D1885"/>
    <w:rsid w:val="005D4A38"/>
    <w:rsid w:val="005E1248"/>
    <w:rsid w:val="005E2EEA"/>
    <w:rsid w:val="005E3708"/>
    <w:rsid w:val="005E3CCD"/>
    <w:rsid w:val="005E3D6B"/>
    <w:rsid w:val="005E5B55"/>
    <w:rsid w:val="005E5E4A"/>
    <w:rsid w:val="005E693D"/>
    <w:rsid w:val="005E75BF"/>
    <w:rsid w:val="005F57BA"/>
    <w:rsid w:val="005F61E6"/>
    <w:rsid w:val="005F6C45"/>
    <w:rsid w:val="006045B8"/>
    <w:rsid w:val="00605A69"/>
    <w:rsid w:val="00606C54"/>
    <w:rsid w:val="00614375"/>
    <w:rsid w:val="00615B0A"/>
    <w:rsid w:val="006168CF"/>
    <w:rsid w:val="0062011B"/>
    <w:rsid w:val="00626DE0"/>
    <w:rsid w:val="00630901"/>
    <w:rsid w:val="00631F8E"/>
    <w:rsid w:val="00636EE9"/>
    <w:rsid w:val="00640950"/>
    <w:rsid w:val="00641AE7"/>
    <w:rsid w:val="00642629"/>
    <w:rsid w:val="0064782B"/>
    <w:rsid w:val="0065293D"/>
    <w:rsid w:val="00653EFC"/>
    <w:rsid w:val="00654021"/>
    <w:rsid w:val="00661045"/>
    <w:rsid w:val="00662949"/>
    <w:rsid w:val="0066374E"/>
    <w:rsid w:val="00666DA8"/>
    <w:rsid w:val="00671057"/>
    <w:rsid w:val="00675AAF"/>
    <w:rsid w:val="00676570"/>
    <w:rsid w:val="006778C4"/>
    <w:rsid w:val="0068031A"/>
    <w:rsid w:val="00681B2F"/>
    <w:rsid w:val="0068335F"/>
    <w:rsid w:val="00684187"/>
    <w:rsid w:val="00687217"/>
    <w:rsid w:val="00693302"/>
    <w:rsid w:val="0069640B"/>
    <w:rsid w:val="0069667E"/>
    <w:rsid w:val="006A1B83"/>
    <w:rsid w:val="006A21CD"/>
    <w:rsid w:val="006A5918"/>
    <w:rsid w:val="006B21B2"/>
    <w:rsid w:val="006B4A4A"/>
    <w:rsid w:val="006C19B2"/>
    <w:rsid w:val="006C4409"/>
    <w:rsid w:val="006C5BB8"/>
    <w:rsid w:val="006C6936"/>
    <w:rsid w:val="006C7B01"/>
    <w:rsid w:val="006D0FE8"/>
    <w:rsid w:val="006D4B2B"/>
    <w:rsid w:val="006D4F3C"/>
    <w:rsid w:val="006D5C66"/>
    <w:rsid w:val="006D7002"/>
    <w:rsid w:val="006E1B3C"/>
    <w:rsid w:val="006E23FB"/>
    <w:rsid w:val="006E325A"/>
    <w:rsid w:val="006E33EC"/>
    <w:rsid w:val="006E3802"/>
    <w:rsid w:val="006E6C02"/>
    <w:rsid w:val="006F231A"/>
    <w:rsid w:val="006F6B55"/>
    <w:rsid w:val="006F788D"/>
    <w:rsid w:val="006F78E1"/>
    <w:rsid w:val="00701072"/>
    <w:rsid w:val="00702054"/>
    <w:rsid w:val="00702B4D"/>
    <w:rsid w:val="007035A4"/>
    <w:rsid w:val="00706A3E"/>
    <w:rsid w:val="00711799"/>
    <w:rsid w:val="00712B78"/>
    <w:rsid w:val="0071393B"/>
    <w:rsid w:val="00713EE2"/>
    <w:rsid w:val="007177FC"/>
    <w:rsid w:val="00720C5E"/>
    <w:rsid w:val="00721701"/>
    <w:rsid w:val="00731835"/>
    <w:rsid w:val="007341F8"/>
    <w:rsid w:val="00734372"/>
    <w:rsid w:val="00734EB8"/>
    <w:rsid w:val="00735F8B"/>
    <w:rsid w:val="0074090B"/>
    <w:rsid w:val="00742D1F"/>
    <w:rsid w:val="00743EBA"/>
    <w:rsid w:val="00744C8E"/>
    <w:rsid w:val="00744FFC"/>
    <w:rsid w:val="0074707E"/>
    <w:rsid w:val="007516DC"/>
    <w:rsid w:val="00752E58"/>
    <w:rsid w:val="00754B80"/>
    <w:rsid w:val="00761918"/>
    <w:rsid w:val="00762F03"/>
    <w:rsid w:val="0076413B"/>
    <w:rsid w:val="007648AE"/>
    <w:rsid w:val="00764BF8"/>
    <w:rsid w:val="0076514D"/>
    <w:rsid w:val="00773D59"/>
    <w:rsid w:val="00781003"/>
    <w:rsid w:val="007845A6"/>
    <w:rsid w:val="007911FD"/>
    <w:rsid w:val="00793930"/>
    <w:rsid w:val="00793DD1"/>
    <w:rsid w:val="00794FEC"/>
    <w:rsid w:val="007A003E"/>
    <w:rsid w:val="007A0BB3"/>
    <w:rsid w:val="007A1965"/>
    <w:rsid w:val="007A2ED1"/>
    <w:rsid w:val="007A4BE6"/>
    <w:rsid w:val="007B0DC6"/>
    <w:rsid w:val="007B1094"/>
    <w:rsid w:val="007B1762"/>
    <w:rsid w:val="007B3320"/>
    <w:rsid w:val="007C0C1C"/>
    <w:rsid w:val="007C301F"/>
    <w:rsid w:val="007C4540"/>
    <w:rsid w:val="007C65AF"/>
    <w:rsid w:val="007C7973"/>
    <w:rsid w:val="007D135D"/>
    <w:rsid w:val="007D51DE"/>
    <w:rsid w:val="007D730F"/>
    <w:rsid w:val="007D7CD8"/>
    <w:rsid w:val="007E3AA7"/>
    <w:rsid w:val="007E596C"/>
    <w:rsid w:val="007F737D"/>
    <w:rsid w:val="0080308E"/>
    <w:rsid w:val="00805303"/>
    <w:rsid w:val="00806705"/>
    <w:rsid w:val="00806738"/>
    <w:rsid w:val="008216D5"/>
    <w:rsid w:val="008249CE"/>
    <w:rsid w:val="00831A50"/>
    <w:rsid w:val="00831B3C"/>
    <w:rsid w:val="00831C89"/>
    <w:rsid w:val="00832114"/>
    <w:rsid w:val="00834C46"/>
    <w:rsid w:val="00835CC8"/>
    <w:rsid w:val="0084093E"/>
    <w:rsid w:val="00841CE1"/>
    <w:rsid w:val="00845878"/>
    <w:rsid w:val="008473D8"/>
    <w:rsid w:val="008528DC"/>
    <w:rsid w:val="00852B8C"/>
    <w:rsid w:val="00854981"/>
    <w:rsid w:val="00864B2E"/>
    <w:rsid w:val="00865963"/>
    <w:rsid w:val="00871C1D"/>
    <w:rsid w:val="0087450E"/>
    <w:rsid w:val="00875A82"/>
    <w:rsid w:val="00876CA3"/>
    <w:rsid w:val="008772FE"/>
    <w:rsid w:val="008775F1"/>
    <w:rsid w:val="008821AE"/>
    <w:rsid w:val="00883D3A"/>
    <w:rsid w:val="00884149"/>
    <w:rsid w:val="008854F7"/>
    <w:rsid w:val="00885A9D"/>
    <w:rsid w:val="008929D2"/>
    <w:rsid w:val="00893636"/>
    <w:rsid w:val="00893B94"/>
    <w:rsid w:val="00896E9D"/>
    <w:rsid w:val="00896F11"/>
    <w:rsid w:val="008A1049"/>
    <w:rsid w:val="008A1C98"/>
    <w:rsid w:val="008A322D"/>
    <w:rsid w:val="008A4D72"/>
    <w:rsid w:val="008A6285"/>
    <w:rsid w:val="008A63B2"/>
    <w:rsid w:val="008A6DD1"/>
    <w:rsid w:val="008B345D"/>
    <w:rsid w:val="008B5659"/>
    <w:rsid w:val="008C1FC2"/>
    <w:rsid w:val="008C2980"/>
    <w:rsid w:val="008C4DD6"/>
    <w:rsid w:val="008C5AFB"/>
    <w:rsid w:val="008D07FB"/>
    <w:rsid w:val="008D0C02"/>
    <w:rsid w:val="008D357D"/>
    <w:rsid w:val="008D435A"/>
    <w:rsid w:val="008E387B"/>
    <w:rsid w:val="008E6087"/>
    <w:rsid w:val="008E758D"/>
    <w:rsid w:val="008F10A7"/>
    <w:rsid w:val="008F1F4B"/>
    <w:rsid w:val="008F755D"/>
    <w:rsid w:val="008F7A39"/>
    <w:rsid w:val="009021E8"/>
    <w:rsid w:val="00904677"/>
    <w:rsid w:val="00905EE2"/>
    <w:rsid w:val="00911440"/>
    <w:rsid w:val="00911712"/>
    <w:rsid w:val="00911B27"/>
    <w:rsid w:val="009170BE"/>
    <w:rsid w:val="00917311"/>
    <w:rsid w:val="00920B55"/>
    <w:rsid w:val="009262C9"/>
    <w:rsid w:val="00930EB9"/>
    <w:rsid w:val="00933DC7"/>
    <w:rsid w:val="009418F4"/>
    <w:rsid w:val="00942BBC"/>
    <w:rsid w:val="00944180"/>
    <w:rsid w:val="00944AA0"/>
    <w:rsid w:val="00947DA2"/>
    <w:rsid w:val="00951177"/>
    <w:rsid w:val="009673E8"/>
    <w:rsid w:val="00974DB8"/>
    <w:rsid w:val="00980661"/>
    <w:rsid w:val="0098093B"/>
    <w:rsid w:val="009876D4"/>
    <w:rsid w:val="009914A5"/>
    <w:rsid w:val="0099548E"/>
    <w:rsid w:val="00996456"/>
    <w:rsid w:val="00996A12"/>
    <w:rsid w:val="00997B0F"/>
    <w:rsid w:val="009A0CC3"/>
    <w:rsid w:val="009A1CAD"/>
    <w:rsid w:val="009A3440"/>
    <w:rsid w:val="009A5832"/>
    <w:rsid w:val="009A6838"/>
    <w:rsid w:val="009A6BE7"/>
    <w:rsid w:val="009A6F07"/>
    <w:rsid w:val="009B24B5"/>
    <w:rsid w:val="009B4EBC"/>
    <w:rsid w:val="009B5ABB"/>
    <w:rsid w:val="009B73CE"/>
    <w:rsid w:val="009C2461"/>
    <w:rsid w:val="009C5A15"/>
    <w:rsid w:val="009C6FE2"/>
    <w:rsid w:val="009C7674"/>
    <w:rsid w:val="009D004A"/>
    <w:rsid w:val="009D5880"/>
    <w:rsid w:val="009E1FD4"/>
    <w:rsid w:val="009E2075"/>
    <w:rsid w:val="009E3B07"/>
    <w:rsid w:val="009E51D1"/>
    <w:rsid w:val="009E5531"/>
    <w:rsid w:val="009F171E"/>
    <w:rsid w:val="009F3D2F"/>
    <w:rsid w:val="009F7052"/>
    <w:rsid w:val="00A0068C"/>
    <w:rsid w:val="00A02668"/>
    <w:rsid w:val="00A02801"/>
    <w:rsid w:val="00A06A39"/>
    <w:rsid w:val="00A07F58"/>
    <w:rsid w:val="00A131CB"/>
    <w:rsid w:val="00A14847"/>
    <w:rsid w:val="00A16D6D"/>
    <w:rsid w:val="00A21383"/>
    <w:rsid w:val="00A2199F"/>
    <w:rsid w:val="00A21B31"/>
    <w:rsid w:val="00A225B5"/>
    <w:rsid w:val="00A2360E"/>
    <w:rsid w:val="00A26E0C"/>
    <w:rsid w:val="00A32FCB"/>
    <w:rsid w:val="00A34C25"/>
    <w:rsid w:val="00A3507D"/>
    <w:rsid w:val="00A3717A"/>
    <w:rsid w:val="00A4088C"/>
    <w:rsid w:val="00A4456B"/>
    <w:rsid w:val="00A448D4"/>
    <w:rsid w:val="00A452E0"/>
    <w:rsid w:val="00A506DF"/>
    <w:rsid w:val="00A51EA5"/>
    <w:rsid w:val="00A53742"/>
    <w:rsid w:val="00A557A1"/>
    <w:rsid w:val="00A63059"/>
    <w:rsid w:val="00A63AE3"/>
    <w:rsid w:val="00A651A4"/>
    <w:rsid w:val="00A71361"/>
    <w:rsid w:val="00A746E2"/>
    <w:rsid w:val="00A81FF2"/>
    <w:rsid w:val="00A83904"/>
    <w:rsid w:val="00A8625A"/>
    <w:rsid w:val="00A90A79"/>
    <w:rsid w:val="00A96B30"/>
    <w:rsid w:val="00AA37B2"/>
    <w:rsid w:val="00AA442D"/>
    <w:rsid w:val="00AA59B5"/>
    <w:rsid w:val="00AA7777"/>
    <w:rsid w:val="00AA7B84"/>
    <w:rsid w:val="00AC0B4C"/>
    <w:rsid w:val="00AC1164"/>
    <w:rsid w:val="00AC2296"/>
    <w:rsid w:val="00AC2754"/>
    <w:rsid w:val="00AC48B0"/>
    <w:rsid w:val="00AC4ACD"/>
    <w:rsid w:val="00AC5DFB"/>
    <w:rsid w:val="00AD13DC"/>
    <w:rsid w:val="00AD6DE2"/>
    <w:rsid w:val="00AE0A40"/>
    <w:rsid w:val="00AE1ED4"/>
    <w:rsid w:val="00AE21E1"/>
    <w:rsid w:val="00AE2F8D"/>
    <w:rsid w:val="00AE3BAE"/>
    <w:rsid w:val="00AE6A21"/>
    <w:rsid w:val="00AF1C8F"/>
    <w:rsid w:val="00AF2B68"/>
    <w:rsid w:val="00AF2C92"/>
    <w:rsid w:val="00AF3EC1"/>
    <w:rsid w:val="00AF4234"/>
    <w:rsid w:val="00AF5025"/>
    <w:rsid w:val="00AF519F"/>
    <w:rsid w:val="00AF5387"/>
    <w:rsid w:val="00AF55F5"/>
    <w:rsid w:val="00AF7E86"/>
    <w:rsid w:val="00B024B9"/>
    <w:rsid w:val="00B077FA"/>
    <w:rsid w:val="00B127D7"/>
    <w:rsid w:val="00B13605"/>
    <w:rsid w:val="00B13A25"/>
    <w:rsid w:val="00B13B0C"/>
    <w:rsid w:val="00B14408"/>
    <w:rsid w:val="00B1453A"/>
    <w:rsid w:val="00B20F82"/>
    <w:rsid w:val="00B25BD5"/>
    <w:rsid w:val="00B34079"/>
    <w:rsid w:val="00B3793A"/>
    <w:rsid w:val="00B401BA"/>
    <w:rsid w:val="00B407E4"/>
    <w:rsid w:val="00B425B6"/>
    <w:rsid w:val="00B42A72"/>
    <w:rsid w:val="00B441AE"/>
    <w:rsid w:val="00B44247"/>
    <w:rsid w:val="00B45A65"/>
    <w:rsid w:val="00B45F33"/>
    <w:rsid w:val="00B46D50"/>
    <w:rsid w:val="00B53170"/>
    <w:rsid w:val="00B548B9"/>
    <w:rsid w:val="00B56DBE"/>
    <w:rsid w:val="00B62999"/>
    <w:rsid w:val="00B63BE3"/>
    <w:rsid w:val="00B64885"/>
    <w:rsid w:val="00B64FA3"/>
    <w:rsid w:val="00B66810"/>
    <w:rsid w:val="00B72BE3"/>
    <w:rsid w:val="00B73B80"/>
    <w:rsid w:val="00B770C7"/>
    <w:rsid w:val="00B80F26"/>
    <w:rsid w:val="00B822BD"/>
    <w:rsid w:val="00B842F4"/>
    <w:rsid w:val="00B876E7"/>
    <w:rsid w:val="00B91A7B"/>
    <w:rsid w:val="00B929DD"/>
    <w:rsid w:val="00B93AF6"/>
    <w:rsid w:val="00B95405"/>
    <w:rsid w:val="00B963F1"/>
    <w:rsid w:val="00BA00CE"/>
    <w:rsid w:val="00BA020A"/>
    <w:rsid w:val="00BA3D99"/>
    <w:rsid w:val="00BB025A"/>
    <w:rsid w:val="00BB02A4"/>
    <w:rsid w:val="00BB1270"/>
    <w:rsid w:val="00BB1E44"/>
    <w:rsid w:val="00BB5267"/>
    <w:rsid w:val="00BB52B8"/>
    <w:rsid w:val="00BB59D8"/>
    <w:rsid w:val="00BB7E69"/>
    <w:rsid w:val="00BC0E51"/>
    <w:rsid w:val="00BC3C1F"/>
    <w:rsid w:val="00BC688C"/>
    <w:rsid w:val="00BC7CE7"/>
    <w:rsid w:val="00BD295E"/>
    <w:rsid w:val="00BD4664"/>
    <w:rsid w:val="00BD6089"/>
    <w:rsid w:val="00BE1193"/>
    <w:rsid w:val="00BF168F"/>
    <w:rsid w:val="00BF4849"/>
    <w:rsid w:val="00BF4EA7"/>
    <w:rsid w:val="00BF5567"/>
    <w:rsid w:val="00BF6525"/>
    <w:rsid w:val="00C00EDB"/>
    <w:rsid w:val="00C02863"/>
    <w:rsid w:val="00C0383A"/>
    <w:rsid w:val="00C067FF"/>
    <w:rsid w:val="00C12862"/>
    <w:rsid w:val="00C13D28"/>
    <w:rsid w:val="00C14585"/>
    <w:rsid w:val="00C165A0"/>
    <w:rsid w:val="00C216CE"/>
    <w:rsid w:val="00C2184F"/>
    <w:rsid w:val="00C22A78"/>
    <w:rsid w:val="00C23C7E"/>
    <w:rsid w:val="00C246C5"/>
    <w:rsid w:val="00C25A82"/>
    <w:rsid w:val="00C30A2A"/>
    <w:rsid w:val="00C33993"/>
    <w:rsid w:val="00C37C21"/>
    <w:rsid w:val="00C4069E"/>
    <w:rsid w:val="00C41ADC"/>
    <w:rsid w:val="00C44149"/>
    <w:rsid w:val="00C44410"/>
    <w:rsid w:val="00C44A15"/>
    <w:rsid w:val="00C4630A"/>
    <w:rsid w:val="00C523F0"/>
    <w:rsid w:val="00C526D2"/>
    <w:rsid w:val="00C53A91"/>
    <w:rsid w:val="00C53FF9"/>
    <w:rsid w:val="00C5794E"/>
    <w:rsid w:val="00C60968"/>
    <w:rsid w:val="00C63D39"/>
    <w:rsid w:val="00C63EDD"/>
    <w:rsid w:val="00C65B36"/>
    <w:rsid w:val="00C7292E"/>
    <w:rsid w:val="00C74E88"/>
    <w:rsid w:val="00C80924"/>
    <w:rsid w:val="00C8286B"/>
    <w:rsid w:val="00C947F8"/>
    <w:rsid w:val="00C9515F"/>
    <w:rsid w:val="00C95D8F"/>
    <w:rsid w:val="00C963C5"/>
    <w:rsid w:val="00CA030C"/>
    <w:rsid w:val="00CA1ACB"/>
    <w:rsid w:val="00CA1F41"/>
    <w:rsid w:val="00CA32EE"/>
    <w:rsid w:val="00CA5771"/>
    <w:rsid w:val="00CA6A1A"/>
    <w:rsid w:val="00CC1E75"/>
    <w:rsid w:val="00CC2E0E"/>
    <w:rsid w:val="00CC361C"/>
    <w:rsid w:val="00CC474B"/>
    <w:rsid w:val="00CC658C"/>
    <w:rsid w:val="00CC67BF"/>
    <w:rsid w:val="00CD0843"/>
    <w:rsid w:val="00CD4E31"/>
    <w:rsid w:val="00CD5A78"/>
    <w:rsid w:val="00CD7345"/>
    <w:rsid w:val="00CE372E"/>
    <w:rsid w:val="00CF0A1B"/>
    <w:rsid w:val="00CF19F6"/>
    <w:rsid w:val="00CF2F4F"/>
    <w:rsid w:val="00CF536D"/>
    <w:rsid w:val="00CF5DAF"/>
    <w:rsid w:val="00D02E9D"/>
    <w:rsid w:val="00D10CB8"/>
    <w:rsid w:val="00D12806"/>
    <w:rsid w:val="00D12D44"/>
    <w:rsid w:val="00D15018"/>
    <w:rsid w:val="00D158AC"/>
    <w:rsid w:val="00D1694C"/>
    <w:rsid w:val="00D20F5E"/>
    <w:rsid w:val="00D23B76"/>
    <w:rsid w:val="00D24B4A"/>
    <w:rsid w:val="00D379A3"/>
    <w:rsid w:val="00D45FF3"/>
    <w:rsid w:val="00D512CF"/>
    <w:rsid w:val="00D528B9"/>
    <w:rsid w:val="00D53186"/>
    <w:rsid w:val="00D5487D"/>
    <w:rsid w:val="00D60140"/>
    <w:rsid w:val="00D6024A"/>
    <w:rsid w:val="00D608B5"/>
    <w:rsid w:val="00D64739"/>
    <w:rsid w:val="00D71F99"/>
    <w:rsid w:val="00D73CA4"/>
    <w:rsid w:val="00D73D71"/>
    <w:rsid w:val="00D74396"/>
    <w:rsid w:val="00D80284"/>
    <w:rsid w:val="00D81F71"/>
    <w:rsid w:val="00D83F69"/>
    <w:rsid w:val="00D8642D"/>
    <w:rsid w:val="00D90A5E"/>
    <w:rsid w:val="00D91A68"/>
    <w:rsid w:val="00D94C88"/>
    <w:rsid w:val="00D95A68"/>
    <w:rsid w:val="00DA17C7"/>
    <w:rsid w:val="00DA6A9A"/>
    <w:rsid w:val="00DB1EFD"/>
    <w:rsid w:val="00DB3EAF"/>
    <w:rsid w:val="00DB46C6"/>
    <w:rsid w:val="00DC0B27"/>
    <w:rsid w:val="00DC3203"/>
    <w:rsid w:val="00DC3C99"/>
    <w:rsid w:val="00DC52F5"/>
    <w:rsid w:val="00DC5FD0"/>
    <w:rsid w:val="00DD0354"/>
    <w:rsid w:val="00DD27D7"/>
    <w:rsid w:val="00DD458C"/>
    <w:rsid w:val="00DD72E9"/>
    <w:rsid w:val="00DD7605"/>
    <w:rsid w:val="00DE2020"/>
    <w:rsid w:val="00DE3476"/>
    <w:rsid w:val="00DE7BEA"/>
    <w:rsid w:val="00DF5B84"/>
    <w:rsid w:val="00DF6D5B"/>
    <w:rsid w:val="00DF771B"/>
    <w:rsid w:val="00DF7EE2"/>
    <w:rsid w:val="00E01BAA"/>
    <w:rsid w:val="00E0282A"/>
    <w:rsid w:val="00E02F9B"/>
    <w:rsid w:val="00E07E14"/>
    <w:rsid w:val="00E14F94"/>
    <w:rsid w:val="00E17336"/>
    <w:rsid w:val="00E17D15"/>
    <w:rsid w:val="00E22B95"/>
    <w:rsid w:val="00E2310C"/>
    <w:rsid w:val="00E30331"/>
    <w:rsid w:val="00E30BB8"/>
    <w:rsid w:val="00E31F9C"/>
    <w:rsid w:val="00E40488"/>
    <w:rsid w:val="00E47FDD"/>
    <w:rsid w:val="00E50367"/>
    <w:rsid w:val="00E51ABA"/>
    <w:rsid w:val="00E524CB"/>
    <w:rsid w:val="00E62485"/>
    <w:rsid w:val="00E65456"/>
    <w:rsid w:val="00E65A91"/>
    <w:rsid w:val="00E66188"/>
    <w:rsid w:val="00E664FB"/>
    <w:rsid w:val="00E672F0"/>
    <w:rsid w:val="00E70373"/>
    <w:rsid w:val="00E717D4"/>
    <w:rsid w:val="00E72E40"/>
    <w:rsid w:val="00E73665"/>
    <w:rsid w:val="00E73999"/>
    <w:rsid w:val="00E73BDC"/>
    <w:rsid w:val="00E73E9E"/>
    <w:rsid w:val="00E81660"/>
    <w:rsid w:val="00E854FE"/>
    <w:rsid w:val="00E8579B"/>
    <w:rsid w:val="00E906CC"/>
    <w:rsid w:val="00E939A0"/>
    <w:rsid w:val="00E97E4E"/>
    <w:rsid w:val="00EA1CC2"/>
    <w:rsid w:val="00EA2D76"/>
    <w:rsid w:val="00EA4644"/>
    <w:rsid w:val="00EA758A"/>
    <w:rsid w:val="00EB096F"/>
    <w:rsid w:val="00EB199F"/>
    <w:rsid w:val="00EB21A4"/>
    <w:rsid w:val="00EB27C4"/>
    <w:rsid w:val="00EB5387"/>
    <w:rsid w:val="00EB5C10"/>
    <w:rsid w:val="00EB7322"/>
    <w:rsid w:val="00EC0FE9"/>
    <w:rsid w:val="00EC198B"/>
    <w:rsid w:val="00EC426D"/>
    <w:rsid w:val="00EC571B"/>
    <w:rsid w:val="00EC57D7"/>
    <w:rsid w:val="00EC6385"/>
    <w:rsid w:val="00ED00F9"/>
    <w:rsid w:val="00ED1DE9"/>
    <w:rsid w:val="00ED23D4"/>
    <w:rsid w:val="00ED5E0B"/>
    <w:rsid w:val="00EE37B6"/>
    <w:rsid w:val="00EF0F45"/>
    <w:rsid w:val="00EF7463"/>
    <w:rsid w:val="00EF7971"/>
    <w:rsid w:val="00F002EF"/>
    <w:rsid w:val="00F01EE9"/>
    <w:rsid w:val="00F04900"/>
    <w:rsid w:val="00F065A4"/>
    <w:rsid w:val="00F126B9"/>
    <w:rsid w:val="00F12715"/>
    <w:rsid w:val="00F144D5"/>
    <w:rsid w:val="00F146F0"/>
    <w:rsid w:val="00F15039"/>
    <w:rsid w:val="00F20FF3"/>
    <w:rsid w:val="00F2190B"/>
    <w:rsid w:val="00F228B5"/>
    <w:rsid w:val="00F2389C"/>
    <w:rsid w:val="00F25C67"/>
    <w:rsid w:val="00F30DFF"/>
    <w:rsid w:val="00F32B80"/>
    <w:rsid w:val="00F340EB"/>
    <w:rsid w:val="00F35285"/>
    <w:rsid w:val="00F354D7"/>
    <w:rsid w:val="00F402F0"/>
    <w:rsid w:val="00F43B9D"/>
    <w:rsid w:val="00F44D5E"/>
    <w:rsid w:val="00F5058B"/>
    <w:rsid w:val="00F53A35"/>
    <w:rsid w:val="00F55A3D"/>
    <w:rsid w:val="00F5744B"/>
    <w:rsid w:val="00F61209"/>
    <w:rsid w:val="00F6259E"/>
    <w:rsid w:val="00F63D3B"/>
    <w:rsid w:val="00F65DD4"/>
    <w:rsid w:val="00F672B2"/>
    <w:rsid w:val="00F83973"/>
    <w:rsid w:val="00F87FA3"/>
    <w:rsid w:val="00F93D8C"/>
    <w:rsid w:val="00FA3102"/>
    <w:rsid w:val="00FA48D4"/>
    <w:rsid w:val="00FA54FA"/>
    <w:rsid w:val="00FA6D39"/>
    <w:rsid w:val="00FB227E"/>
    <w:rsid w:val="00FB3D61"/>
    <w:rsid w:val="00FB44CE"/>
    <w:rsid w:val="00FB5009"/>
    <w:rsid w:val="00FB76AB"/>
    <w:rsid w:val="00FD03FE"/>
    <w:rsid w:val="00FD126E"/>
    <w:rsid w:val="00FD3C36"/>
    <w:rsid w:val="00FD4D81"/>
    <w:rsid w:val="00FD599F"/>
    <w:rsid w:val="00FD7498"/>
    <w:rsid w:val="00FD7FB3"/>
    <w:rsid w:val="00FE25A1"/>
    <w:rsid w:val="00FE4713"/>
    <w:rsid w:val="00FF1F44"/>
    <w:rsid w:val="00FF225E"/>
    <w:rsid w:val="00FF672C"/>
    <w:rsid w:val="00FF6CE8"/>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E79CF6F"/>
  <w14:defaultImageDpi w14:val="330"/>
  <w15:docId w15:val="{30115F76-3335-472D-B8CE-7BB30FDD45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376">
    <w:lsdException w:name="heading 1" w:qFormat="1"/>
    <w:lsdException w:name="heading 2" w:qFormat="1"/>
    <w:lsdException w:name="heading 3"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EB096F"/>
    <w:pPr>
      <w:spacing w:line="480" w:lineRule="auto"/>
    </w:pPr>
    <w:rPr>
      <w:sz w:val="24"/>
      <w:szCs w:val="24"/>
    </w:rPr>
  </w:style>
  <w:style w:type="paragraph" w:styleId="Heading1">
    <w:name w:val="heading 1"/>
    <w:basedOn w:val="Normal"/>
    <w:next w:val="Paragraph"/>
    <w:link w:val="Heading1Char"/>
    <w:qFormat/>
    <w:rsid w:val="00AE1ED4"/>
    <w:pPr>
      <w:keepNext/>
      <w:spacing w:before="360" w:after="60" w:line="360" w:lineRule="auto"/>
      <w:ind w:right="567"/>
      <w:contextualSpacing/>
      <w:outlineLvl w:val="0"/>
    </w:pPr>
    <w:rPr>
      <w:rFonts w:cs="Arial"/>
      <w:b/>
      <w:bCs/>
      <w:kern w:val="32"/>
      <w:szCs w:val="32"/>
    </w:rPr>
  </w:style>
  <w:style w:type="paragraph" w:styleId="Heading2">
    <w:name w:val="heading 2"/>
    <w:basedOn w:val="Normal"/>
    <w:next w:val="Paragraph"/>
    <w:link w:val="Heading2Char"/>
    <w:qFormat/>
    <w:rsid w:val="008D07FB"/>
    <w:pPr>
      <w:keepNext/>
      <w:spacing w:before="360" w:after="60" w:line="360" w:lineRule="auto"/>
      <w:ind w:right="567"/>
      <w:contextualSpacing/>
      <w:outlineLvl w:val="1"/>
    </w:pPr>
    <w:rPr>
      <w:rFonts w:cs="Arial"/>
      <w:b/>
      <w:bCs/>
      <w:i/>
      <w:iCs/>
      <w:szCs w:val="28"/>
    </w:rPr>
  </w:style>
  <w:style w:type="paragraph" w:styleId="Heading3">
    <w:name w:val="heading 3"/>
    <w:basedOn w:val="Normal"/>
    <w:next w:val="Paragraph"/>
    <w:link w:val="Heading3Char"/>
    <w:qFormat/>
    <w:rsid w:val="00DF7EE2"/>
    <w:pPr>
      <w:keepNext/>
      <w:spacing w:before="360" w:after="60" w:line="360" w:lineRule="auto"/>
      <w:ind w:right="567"/>
      <w:contextualSpacing/>
      <w:outlineLvl w:val="2"/>
    </w:pPr>
    <w:rPr>
      <w:rFonts w:cs="Arial"/>
      <w:bCs/>
      <w:i/>
      <w:szCs w:val="26"/>
    </w:rPr>
  </w:style>
  <w:style w:type="paragraph" w:styleId="Heading4">
    <w:name w:val="heading 4"/>
    <w:basedOn w:val="Paragraph"/>
    <w:next w:val="Newparagraph"/>
    <w:link w:val="Heading4Char"/>
    <w:rsid w:val="00F43B9D"/>
    <w:pPr>
      <w:spacing w:before="360"/>
      <w:outlineLvl w:val="3"/>
    </w:pPr>
    <w:rPr>
      <w:bCs/>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rticletitle">
    <w:name w:val="Article title"/>
    <w:basedOn w:val="Normal"/>
    <w:next w:val="Normal"/>
    <w:qFormat/>
    <w:rsid w:val="0024692A"/>
    <w:pPr>
      <w:spacing w:after="120" w:line="360" w:lineRule="auto"/>
    </w:pPr>
    <w:rPr>
      <w:b/>
      <w:sz w:val="28"/>
    </w:rPr>
  </w:style>
  <w:style w:type="paragraph" w:customStyle="1" w:styleId="Authornames">
    <w:name w:val="Author names"/>
    <w:basedOn w:val="Normal"/>
    <w:next w:val="Normal"/>
    <w:qFormat/>
    <w:rsid w:val="00F04900"/>
    <w:pPr>
      <w:spacing w:before="240" w:line="360" w:lineRule="auto"/>
    </w:pPr>
    <w:rPr>
      <w:sz w:val="28"/>
    </w:rPr>
  </w:style>
  <w:style w:type="paragraph" w:customStyle="1" w:styleId="Affiliation">
    <w:name w:val="Affiliation"/>
    <w:basedOn w:val="Normal"/>
    <w:qFormat/>
    <w:rsid w:val="00F04900"/>
    <w:pPr>
      <w:spacing w:before="240" w:line="360" w:lineRule="auto"/>
    </w:pPr>
    <w:rPr>
      <w:i/>
    </w:rPr>
  </w:style>
  <w:style w:type="paragraph" w:customStyle="1" w:styleId="Receiveddates">
    <w:name w:val="Received dates"/>
    <w:basedOn w:val="Affiliation"/>
    <w:next w:val="Normal"/>
    <w:qFormat/>
    <w:rsid w:val="00CC474B"/>
  </w:style>
  <w:style w:type="paragraph" w:customStyle="1" w:styleId="Abstract">
    <w:name w:val="Abstract"/>
    <w:basedOn w:val="Normal"/>
    <w:next w:val="Keywords"/>
    <w:qFormat/>
    <w:rsid w:val="00310E13"/>
    <w:pPr>
      <w:spacing w:before="360" w:after="300" w:line="360" w:lineRule="auto"/>
      <w:ind w:left="720" w:right="567"/>
    </w:pPr>
    <w:rPr>
      <w:sz w:val="22"/>
    </w:rPr>
  </w:style>
  <w:style w:type="paragraph" w:customStyle="1" w:styleId="Keywords">
    <w:name w:val="Keywords"/>
    <w:basedOn w:val="Normal"/>
    <w:next w:val="Paragraph"/>
    <w:qFormat/>
    <w:rsid w:val="00BB1270"/>
    <w:pPr>
      <w:spacing w:before="240" w:after="240" w:line="360" w:lineRule="auto"/>
      <w:ind w:left="720" w:right="567"/>
    </w:pPr>
    <w:rPr>
      <w:sz w:val="22"/>
    </w:rPr>
  </w:style>
  <w:style w:type="paragraph" w:customStyle="1" w:styleId="Correspondencedetails">
    <w:name w:val="Correspondence details"/>
    <w:basedOn w:val="Normal"/>
    <w:qFormat/>
    <w:rsid w:val="00F04900"/>
    <w:pPr>
      <w:spacing w:before="240" w:line="360" w:lineRule="auto"/>
    </w:pPr>
  </w:style>
  <w:style w:type="paragraph" w:customStyle="1" w:styleId="Displayedquotation">
    <w:name w:val="Displayed quotation"/>
    <w:basedOn w:val="Normal"/>
    <w:qFormat/>
    <w:rsid w:val="00731835"/>
    <w:pPr>
      <w:tabs>
        <w:tab w:val="left" w:pos="1077"/>
        <w:tab w:val="left" w:pos="1440"/>
        <w:tab w:val="left" w:pos="1797"/>
        <w:tab w:val="left" w:pos="2155"/>
        <w:tab w:val="left" w:pos="2512"/>
      </w:tabs>
      <w:spacing w:before="240" w:after="360" w:line="360" w:lineRule="auto"/>
      <w:ind w:left="709" w:right="425"/>
      <w:contextualSpacing/>
    </w:pPr>
    <w:rPr>
      <w:sz w:val="22"/>
    </w:rPr>
  </w:style>
  <w:style w:type="paragraph" w:customStyle="1" w:styleId="Numberedlist">
    <w:name w:val="Numbered list"/>
    <w:basedOn w:val="Paragraph"/>
    <w:next w:val="Paragraph"/>
    <w:qFormat/>
    <w:rsid w:val="00D80284"/>
    <w:pPr>
      <w:widowControl/>
      <w:numPr>
        <w:numId w:val="24"/>
      </w:numPr>
      <w:spacing w:after="240"/>
      <w:contextualSpacing/>
    </w:pPr>
  </w:style>
  <w:style w:type="paragraph" w:customStyle="1" w:styleId="Displayedequation">
    <w:name w:val="Displayed equation"/>
    <w:basedOn w:val="Normal"/>
    <w:next w:val="Paragraph"/>
    <w:qFormat/>
    <w:rsid w:val="00EF0F45"/>
    <w:pPr>
      <w:tabs>
        <w:tab w:val="center" w:pos="4253"/>
        <w:tab w:val="right" w:pos="8222"/>
      </w:tabs>
      <w:spacing w:before="240" w:after="240"/>
      <w:jc w:val="center"/>
    </w:pPr>
  </w:style>
  <w:style w:type="paragraph" w:customStyle="1" w:styleId="Acknowledgements">
    <w:name w:val="Acknowledgements"/>
    <w:basedOn w:val="Normal"/>
    <w:next w:val="Normal"/>
    <w:qFormat/>
    <w:rsid w:val="00D379A3"/>
    <w:pPr>
      <w:spacing w:before="120" w:line="360" w:lineRule="auto"/>
    </w:pPr>
    <w:rPr>
      <w:sz w:val="22"/>
    </w:rPr>
  </w:style>
  <w:style w:type="paragraph" w:customStyle="1" w:styleId="Tabletitle">
    <w:name w:val="Table title"/>
    <w:basedOn w:val="Normal"/>
    <w:next w:val="Normal"/>
    <w:qFormat/>
    <w:rsid w:val="0031686C"/>
    <w:pPr>
      <w:spacing w:before="240" w:line="360" w:lineRule="auto"/>
    </w:pPr>
  </w:style>
  <w:style w:type="paragraph" w:customStyle="1" w:styleId="Figurecaption">
    <w:name w:val="Figure caption"/>
    <w:basedOn w:val="Normal"/>
    <w:next w:val="Normal"/>
    <w:qFormat/>
    <w:rsid w:val="0031686C"/>
    <w:pPr>
      <w:spacing w:before="240" w:line="360" w:lineRule="auto"/>
    </w:pPr>
  </w:style>
  <w:style w:type="paragraph" w:customStyle="1" w:styleId="Footnotes">
    <w:name w:val="Footnotes"/>
    <w:basedOn w:val="Normal"/>
    <w:qFormat/>
    <w:rsid w:val="006C6936"/>
    <w:pPr>
      <w:spacing w:before="120" w:line="360" w:lineRule="auto"/>
      <w:ind w:left="482" w:hanging="482"/>
      <w:contextualSpacing/>
    </w:pPr>
    <w:rPr>
      <w:sz w:val="22"/>
    </w:rPr>
  </w:style>
  <w:style w:type="paragraph" w:customStyle="1" w:styleId="Notesoncontributors">
    <w:name w:val="Notes on contributors"/>
    <w:basedOn w:val="Normal"/>
    <w:qFormat/>
    <w:rsid w:val="00F04900"/>
    <w:pPr>
      <w:spacing w:before="240" w:line="360" w:lineRule="auto"/>
    </w:pPr>
    <w:rPr>
      <w:sz w:val="22"/>
    </w:rPr>
  </w:style>
  <w:style w:type="paragraph" w:customStyle="1" w:styleId="Normalparagraphstyle">
    <w:name w:val="Normal paragraph style"/>
    <w:basedOn w:val="Normal"/>
    <w:next w:val="Normal"/>
    <w:rsid w:val="00562DEF"/>
  </w:style>
  <w:style w:type="paragraph" w:customStyle="1" w:styleId="Paragraph">
    <w:name w:val="Paragraph"/>
    <w:basedOn w:val="Normal"/>
    <w:next w:val="Newparagraph"/>
    <w:qFormat/>
    <w:rsid w:val="001B7681"/>
    <w:pPr>
      <w:widowControl w:val="0"/>
      <w:spacing w:before="240"/>
    </w:pPr>
  </w:style>
  <w:style w:type="paragraph" w:customStyle="1" w:styleId="Newparagraph">
    <w:name w:val="New paragraph"/>
    <w:basedOn w:val="Normal"/>
    <w:qFormat/>
    <w:rsid w:val="00AE2F8D"/>
    <w:pPr>
      <w:ind w:firstLine="720"/>
    </w:pPr>
  </w:style>
  <w:style w:type="paragraph" w:styleId="NormalIndent">
    <w:name w:val="Normal Indent"/>
    <w:basedOn w:val="Normal"/>
    <w:rsid w:val="00526454"/>
    <w:pPr>
      <w:ind w:left="720"/>
    </w:pPr>
  </w:style>
  <w:style w:type="paragraph" w:customStyle="1" w:styleId="References">
    <w:name w:val="References"/>
    <w:basedOn w:val="Normal"/>
    <w:qFormat/>
    <w:rsid w:val="002C53EE"/>
    <w:pPr>
      <w:spacing w:before="120" w:line="360" w:lineRule="auto"/>
      <w:ind w:left="720" w:hanging="720"/>
      <w:contextualSpacing/>
    </w:pPr>
  </w:style>
  <w:style w:type="paragraph" w:customStyle="1" w:styleId="Subjectcodes">
    <w:name w:val="Subject codes"/>
    <w:basedOn w:val="Keywords"/>
    <w:next w:val="Paragraph"/>
    <w:qFormat/>
    <w:rsid w:val="0000681B"/>
  </w:style>
  <w:style w:type="character" w:customStyle="1" w:styleId="Heading2Char">
    <w:name w:val="Heading 2 Char"/>
    <w:basedOn w:val="DefaultParagraphFont"/>
    <w:link w:val="Heading2"/>
    <w:rsid w:val="008D07FB"/>
    <w:rPr>
      <w:rFonts w:cs="Arial"/>
      <w:b/>
      <w:bCs/>
      <w:i/>
      <w:iCs/>
      <w:sz w:val="24"/>
      <w:szCs w:val="28"/>
    </w:rPr>
  </w:style>
  <w:style w:type="character" w:customStyle="1" w:styleId="Heading1Char">
    <w:name w:val="Heading 1 Char"/>
    <w:basedOn w:val="DefaultParagraphFont"/>
    <w:link w:val="Heading1"/>
    <w:rsid w:val="00AE1ED4"/>
    <w:rPr>
      <w:rFonts w:cs="Arial"/>
      <w:b/>
      <w:bCs/>
      <w:kern w:val="32"/>
      <w:sz w:val="24"/>
      <w:szCs w:val="32"/>
    </w:rPr>
  </w:style>
  <w:style w:type="character" w:customStyle="1" w:styleId="Heading3Char">
    <w:name w:val="Heading 3 Char"/>
    <w:basedOn w:val="DefaultParagraphFont"/>
    <w:link w:val="Heading3"/>
    <w:rsid w:val="00DF7EE2"/>
    <w:rPr>
      <w:rFonts w:eastAsia="Times New Roman" w:cs="Arial"/>
      <w:bCs/>
      <w:i/>
      <w:sz w:val="24"/>
      <w:szCs w:val="26"/>
      <w:lang w:eastAsia="en-GB"/>
    </w:rPr>
  </w:style>
  <w:style w:type="paragraph" w:customStyle="1" w:styleId="Bulletedlist">
    <w:name w:val="Bulleted list"/>
    <w:basedOn w:val="Paragraph"/>
    <w:next w:val="Paragraph"/>
    <w:qFormat/>
    <w:rsid w:val="004E0338"/>
    <w:pPr>
      <w:widowControl/>
      <w:numPr>
        <w:numId w:val="28"/>
      </w:numPr>
      <w:spacing w:after="240"/>
      <w:contextualSpacing/>
    </w:pPr>
  </w:style>
  <w:style w:type="paragraph" w:styleId="FootnoteText">
    <w:name w:val="footnote text"/>
    <w:basedOn w:val="Normal"/>
    <w:link w:val="FootnoteTextChar"/>
    <w:autoRedefine/>
    <w:uiPriority w:val="99"/>
    <w:rsid w:val="00186B3C"/>
    <w:pPr>
      <w:spacing w:line="360" w:lineRule="auto"/>
      <w:ind w:left="284" w:hanging="284"/>
    </w:pPr>
    <w:rPr>
      <w:sz w:val="22"/>
      <w:szCs w:val="20"/>
    </w:rPr>
  </w:style>
  <w:style w:type="character" w:customStyle="1" w:styleId="FootnoteTextChar">
    <w:name w:val="Footnote Text Char"/>
    <w:basedOn w:val="DefaultParagraphFont"/>
    <w:link w:val="FootnoteText"/>
    <w:uiPriority w:val="99"/>
    <w:rsid w:val="00186B3C"/>
    <w:rPr>
      <w:sz w:val="22"/>
    </w:rPr>
  </w:style>
  <w:style w:type="character" w:styleId="FootnoteReference">
    <w:name w:val="footnote reference"/>
    <w:basedOn w:val="DefaultParagraphFont"/>
    <w:uiPriority w:val="99"/>
    <w:rsid w:val="00AF2C92"/>
    <w:rPr>
      <w:vertAlign w:val="superscript"/>
    </w:rPr>
  </w:style>
  <w:style w:type="paragraph" w:styleId="EndnoteText">
    <w:name w:val="endnote text"/>
    <w:basedOn w:val="Normal"/>
    <w:link w:val="EndnoteTextChar"/>
    <w:autoRedefine/>
    <w:rsid w:val="006C19B2"/>
    <w:pPr>
      <w:ind w:left="284" w:hanging="284"/>
    </w:pPr>
    <w:rPr>
      <w:sz w:val="22"/>
      <w:szCs w:val="20"/>
    </w:rPr>
  </w:style>
  <w:style w:type="character" w:customStyle="1" w:styleId="EndnoteTextChar">
    <w:name w:val="Endnote Text Char"/>
    <w:basedOn w:val="DefaultParagraphFont"/>
    <w:link w:val="EndnoteText"/>
    <w:rsid w:val="006C19B2"/>
    <w:rPr>
      <w:sz w:val="22"/>
    </w:rPr>
  </w:style>
  <w:style w:type="character" w:styleId="EndnoteReference">
    <w:name w:val="endnote reference"/>
    <w:basedOn w:val="DefaultParagraphFont"/>
    <w:rsid w:val="00EC571B"/>
    <w:rPr>
      <w:vertAlign w:val="superscript"/>
    </w:rPr>
  </w:style>
  <w:style w:type="character" w:customStyle="1" w:styleId="Heading4Char">
    <w:name w:val="Heading 4 Char"/>
    <w:basedOn w:val="DefaultParagraphFont"/>
    <w:link w:val="Heading4"/>
    <w:rsid w:val="00F43B9D"/>
    <w:rPr>
      <w:bCs/>
      <w:sz w:val="24"/>
      <w:szCs w:val="28"/>
    </w:rPr>
  </w:style>
  <w:style w:type="paragraph" w:styleId="Header">
    <w:name w:val="header"/>
    <w:basedOn w:val="Normal"/>
    <w:link w:val="HeaderChar"/>
    <w:rsid w:val="003F193A"/>
    <w:pPr>
      <w:tabs>
        <w:tab w:val="center" w:pos="4320"/>
        <w:tab w:val="right" w:pos="8640"/>
      </w:tabs>
      <w:spacing w:after="120" w:line="240" w:lineRule="auto"/>
      <w:contextualSpacing/>
    </w:pPr>
  </w:style>
  <w:style w:type="character" w:customStyle="1" w:styleId="HeaderChar">
    <w:name w:val="Header Char"/>
    <w:basedOn w:val="DefaultParagraphFont"/>
    <w:link w:val="Header"/>
    <w:rsid w:val="003F193A"/>
    <w:rPr>
      <w:rFonts w:eastAsia="Times New Roman"/>
      <w:sz w:val="24"/>
      <w:szCs w:val="24"/>
      <w:lang w:eastAsia="en-GB"/>
    </w:rPr>
  </w:style>
  <w:style w:type="paragraph" w:styleId="Footer">
    <w:name w:val="footer"/>
    <w:basedOn w:val="Normal"/>
    <w:link w:val="FooterChar"/>
    <w:rsid w:val="00AE6A21"/>
    <w:pPr>
      <w:tabs>
        <w:tab w:val="center" w:pos="4320"/>
        <w:tab w:val="right" w:pos="8640"/>
      </w:tabs>
      <w:spacing w:before="240" w:line="240" w:lineRule="auto"/>
      <w:contextualSpacing/>
    </w:pPr>
  </w:style>
  <w:style w:type="character" w:customStyle="1" w:styleId="FooterChar">
    <w:name w:val="Footer Char"/>
    <w:basedOn w:val="DefaultParagraphFont"/>
    <w:link w:val="Footer"/>
    <w:rsid w:val="00AE6A21"/>
    <w:rPr>
      <w:sz w:val="24"/>
      <w:szCs w:val="24"/>
    </w:rPr>
  </w:style>
  <w:style w:type="paragraph" w:customStyle="1" w:styleId="Heading4Paragraph">
    <w:name w:val="Heading 4 + Paragraph"/>
    <w:basedOn w:val="Paragraph"/>
    <w:next w:val="Newparagraph"/>
    <w:qFormat/>
    <w:rsid w:val="00AE1ED4"/>
    <w:pPr>
      <w:widowControl/>
      <w:spacing w:before="360"/>
    </w:pPr>
  </w:style>
  <w:style w:type="character" w:styleId="Hyperlink">
    <w:name w:val="Hyperlink"/>
    <w:basedOn w:val="DefaultParagraphFont"/>
    <w:unhideWhenUsed/>
    <w:rsid w:val="00A8625A"/>
    <w:rPr>
      <w:color w:val="0000FF" w:themeColor="hyperlink"/>
      <w:u w:val="single"/>
    </w:rPr>
  </w:style>
  <w:style w:type="character" w:styleId="UnresolvedMention">
    <w:name w:val="Unresolved Mention"/>
    <w:basedOn w:val="DefaultParagraphFont"/>
    <w:uiPriority w:val="99"/>
    <w:semiHidden/>
    <w:unhideWhenUsed/>
    <w:rsid w:val="00A8625A"/>
    <w:rPr>
      <w:color w:val="605E5C"/>
      <w:shd w:val="clear" w:color="auto" w:fill="E1DFDD"/>
    </w:rPr>
  </w:style>
  <w:style w:type="table" w:styleId="TableGrid">
    <w:name w:val="Table Grid"/>
    <w:basedOn w:val="TableNormal"/>
    <w:uiPriority w:val="39"/>
    <w:rsid w:val="000F162A"/>
    <w:rPr>
      <w:rFonts w:asciiTheme="minorHAnsi" w:eastAsiaTheme="minorHAnsi" w:hAnsiTheme="minorHAnsi" w:cstheme="minorBidi"/>
      <w:kern w:val="2"/>
      <w:sz w:val="22"/>
      <w:szCs w:val="22"/>
      <w:lang w:eastAsia="en-US"/>
      <w14:ligatures w14:val="standardContextua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semiHidden/>
    <w:unhideWhenUsed/>
    <w:rsid w:val="00684187"/>
    <w:rPr>
      <w:color w:val="800080" w:themeColor="followedHyperlink"/>
      <w:u w:val="single"/>
    </w:rPr>
  </w:style>
  <w:style w:type="character" w:styleId="CommentReference">
    <w:name w:val="annotation reference"/>
    <w:basedOn w:val="DefaultParagraphFont"/>
    <w:semiHidden/>
    <w:unhideWhenUsed/>
    <w:rsid w:val="00BA00CE"/>
    <w:rPr>
      <w:sz w:val="16"/>
      <w:szCs w:val="16"/>
    </w:rPr>
  </w:style>
  <w:style w:type="paragraph" w:styleId="CommentText">
    <w:name w:val="annotation text"/>
    <w:basedOn w:val="Normal"/>
    <w:link w:val="CommentTextChar"/>
    <w:unhideWhenUsed/>
    <w:rsid w:val="00BA00CE"/>
    <w:pPr>
      <w:spacing w:line="240" w:lineRule="auto"/>
    </w:pPr>
    <w:rPr>
      <w:sz w:val="20"/>
      <w:szCs w:val="20"/>
    </w:rPr>
  </w:style>
  <w:style w:type="character" w:customStyle="1" w:styleId="CommentTextChar">
    <w:name w:val="Comment Text Char"/>
    <w:basedOn w:val="DefaultParagraphFont"/>
    <w:link w:val="CommentText"/>
    <w:rsid w:val="00BA00CE"/>
  </w:style>
  <w:style w:type="paragraph" w:styleId="CommentSubject">
    <w:name w:val="annotation subject"/>
    <w:basedOn w:val="CommentText"/>
    <w:next w:val="CommentText"/>
    <w:link w:val="CommentSubjectChar"/>
    <w:semiHidden/>
    <w:unhideWhenUsed/>
    <w:rsid w:val="00BA00CE"/>
    <w:rPr>
      <w:b/>
      <w:bCs/>
    </w:rPr>
  </w:style>
  <w:style w:type="character" w:customStyle="1" w:styleId="CommentSubjectChar">
    <w:name w:val="Comment Subject Char"/>
    <w:basedOn w:val="CommentTextChar"/>
    <w:link w:val="CommentSubject"/>
    <w:semiHidden/>
    <w:rsid w:val="00BA00C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9926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jno6@kent.ac.uk" TargetMode="External"/><Relationship Id="rId13" Type="http://schemas.openxmlformats.org/officeDocument/2006/relationships/image" Target="media/image1.png"/><Relationship Id="rId18" Type="http://schemas.openxmlformats.org/officeDocument/2006/relationships/hyperlink" Target="http://www.barrolee.com/" TargetMode="External"/><Relationship Id="rId3" Type="http://schemas.openxmlformats.org/officeDocument/2006/relationships/styles" Target="styles.xml"/><Relationship Id="rId21" Type="http://schemas.openxmlformats.org/officeDocument/2006/relationships/hyperlink" Target="https://github.com/jack-n-ocallaghan/ecox-5004-analysis" TargetMode="External"/><Relationship Id="rId7" Type="http://schemas.openxmlformats.org/officeDocument/2006/relationships/endnotes" Target="endnotes.xml"/><Relationship Id="rId12" Type="http://schemas.microsoft.com/office/2018/08/relationships/commentsExtensible" Target="commentsExtensible.xml"/><Relationship Id="rId17" Type="http://schemas.openxmlformats.org/officeDocument/2006/relationships/hyperlink" Target="https://www.rug.nl/ggdc/productivity/pwt/?lang=en" TargetMode="External"/><Relationship Id="rId2" Type="http://schemas.openxmlformats.org/officeDocument/2006/relationships/numbering" Target="numbering.xml"/><Relationship Id="rId16" Type="http://schemas.openxmlformats.org/officeDocument/2006/relationships/image" Target="media/image3.emf"/><Relationship Id="rId20" Type="http://schemas.openxmlformats.org/officeDocument/2006/relationships/hyperlink" Target="https://fred.stlouisfed.org/series/GDPDE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chart" Target="charts/chart1.xml"/><Relationship Id="rId23" Type="http://schemas.microsoft.com/office/2011/relationships/people" Target="people.xml"/><Relationship Id="rId10" Type="http://schemas.microsoft.com/office/2011/relationships/commentsExtended" Target="commentsExtended.xml"/><Relationship Id="rId19" Type="http://schemas.openxmlformats.org/officeDocument/2006/relationships/hyperlink" Target="https://datatopics.worldbank.org/education/" TargetMode="Externa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2.svg"/><Relationship Id="rId22" Type="http://schemas.openxmlformats.org/officeDocument/2006/relationships/fontTable" Target="fontTable.xml"/></Relationships>
</file>

<file path=word/_rels/footnotes.xml.rels><?xml version="1.0" encoding="UTF-8" standalone="yes"?>
<Relationships xmlns="http://schemas.openxmlformats.org/package/2006/relationships"><Relationship Id="rId2" Type="http://schemas.openxmlformats.org/officeDocument/2006/relationships/hyperlink" Target="https://www.bankofengland.co.uk/working-paper/2013/long-and-short-term-effects-of-the-financial-crisis-on-labour-productivity-capital-and-output" TargetMode="External"/><Relationship Id="rId1" Type="http://schemas.openxmlformats.org/officeDocument/2006/relationships/hyperlink" Target="https://www.oecd.org/education/skills-beyond-school/48642586.pdf"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acko\AppData\Local\Temp\08e15528-9102-4003-b075-381662b7fb7a_TF_Template_Word_Windows_2016.zip.b7a\TF_Template_Word_Windows_2016.dotx" TargetMode="External"/></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7fd06676eeea000b/Documents/GitHub/ecox-5004-analysis/data_viz.xlsx" TargetMode="External"/><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scatterChart>
        <c:scatterStyle val="lineMarker"/>
        <c:varyColors val="0"/>
        <c:ser>
          <c:idx val="0"/>
          <c:order val="0"/>
          <c:tx>
            <c:strRef>
              <c:f>'Education Against GDP'!$C$1</c:f>
              <c:strCache>
                <c:ptCount val="1"/>
                <c:pt idx="0">
                  <c:v>rgdpo.pop.roll</c:v>
                </c:pt>
              </c:strCache>
            </c:strRef>
          </c:tx>
          <c:spPr>
            <a:ln w="19050" cap="rnd">
              <a:noFill/>
              <a:round/>
            </a:ln>
            <a:effectLst/>
          </c:spPr>
          <c:marker>
            <c:symbol val="circle"/>
            <c:size val="5"/>
            <c:spPr>
              <a:solidFill>
                <a:schemeClr val="accent1"/>
              </a:solidFill>
              <a:ln w="9525">
                <a:noFill/>
              </a:ln>
              <a:effectLst/>
            </c:spPr>
          </c:marker>
          <c:trendline>
            <c:spPr>
              <a:ln w="19050" cap="rnd">
                <a:solidFill>
                  <a:schemeClr val="accent1"/>
                </a:solidFill>
                <a:prstDash val="sysDot"/>
              </a:ln>
              <a:effectLst/>
            </c:spPr>
            <c:trendlineType val="linear"/>
            <c:forward val="2"/>
            <c:dispRSqr val="1"/>
            <c:dispEq val="0"/>
            <c:trendlineLbl>
              <c:layout>
                <c:manualLayout>
                  <c:x val="-3.7159317527143805E-2"/>
                  <c:y val="0.28223546561716256"/>
                </c:manualLayout>
              </c:layout>
              <c:numFmt formatCode="#,##0.00" sourceLinked="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rendlineLbl>
          </c:trendline>
          <c:xVal>
            <c:numRef>
              <c:f>'Education Against GDP'!$B$2:$B$211</c:f>
              <c:numCache>
                <c:formatCode>General</c:formatCode>
                <c:ptCount val="210"/>
                <c:pt idx="0">
                  <c:v>7.26</c:v>
                </c:pt>
                <c:pt idx="1">
                  <c:v>7.44</c:v>
                </c:pt>
                <c:pt idx="2">
                  <c:v>7.6</c:v>
                </c:pt>
                <c:pt idx="3">
                  <c:v>7.84</c:v>
                </c:pt>
                <c:pt idx="4">
                  <c:v>8.26</c:v>
                </c:pt>
                <c:pt idx="5">
                  <c:v>8.93</c:v>
                </c:pt>
                <c:pt idx="6">
                  <c:v>9.43</c:v>
                </c:pt>
                <c:pt idx="7">
                  <c:v>9.89</c:v>
                </c:pt>
                <c:pt idx="8">
                  <c:v>10.130000000000001</c:v>
                </c:pt>
                <c:pt idx="9">
                  <c:v>10.27</c:v>
                </c:pt>
                <c:pt idx="10">
                  <c:v>7.98</c:v>
                </c:pt>
                <c:pt idx="11">
                  <c:v>8.39</c:v>
                </c:pt>
                <c:pt idx="12">
                  <c:v>8.93</c:v>
                </c:pt>
                <c:pt idx="13">
                  <c:v>9.41</c:v>
                </c:pt>
                <c:pt idx="14">
                  <c:v>10</c:v>
                </c:pt>
                <c:pt idx="15">
                  <c:v>10.64</c:v>
                </c:pt>
                <c:pt idx="16">
                  <c:v>10.95</c:v>
                </c:pt>
                <c:pt idx="17">
                  <c:v>11.11</c:v>
                </c:pt>
                <c:pt idx="18">
                  <c:v>11.29</c:v>
                </c:pt>
                <c:pt idx="19">
                  <c:v>11.36</c:v>
                </c:pt>
                <c:pt idx="20">
                  <c:v>6.54</c:v>
                </c:pt>
                <c:pt idx="21">
                  <c:v>7.41</c:v>
                </c:pt>
                <c:pt idx="22">
                  <c:v>8.15</c:v>
                </c:pt>
                <c:pt idx="23">
                  <c:v>8.76</c:v>
                </c:pt>
                <c:pt idx="24">
                  <c:v>8.68</c:v>
                </c:pt>
                <c:pt idx="25">
                  <c:v>9.31</c:v>
                </c:pt>
                <c:pt idx="26">
                  <c:v>9.65</c:v>
                </c:pt>
                <c:pt idx="27">
                  <c:v>10.61</c:v>
                </c:pt>
                <c:pt idx="28">
                  <c:v>11.07</c:v>
                </c:pt>
                <c:pt idx="29">
                  <c:v>10.71</c:v>
                </c:pt>
                <c:pt idx="30">
                  <c:v>6.36</c:v>
                </c:pt>
                <c:pt idx="31">
                  <c:v>7.02</c:v>
                </c:pt>
                <c:pt idx="32">
                  <c:v>7.89</c:v>
                </c:pt>
                <c:pt idx="33">
                  <c:v>8.94</c:v>
                </c:pt>
                <c:pt idx="34">
                  <c:v>9.85</c:v>
                </c:pt>
                <c:pt idx="35">
                  <c:v>10.28</c:v>
                </c:pt>
                <c:pt idx="36">
                  <c:v>10.82</c:v>
                </c:pt>
                <c:pt idx="37">
                  <c:v>10.19</c:v>
                </c:pt>
                <c:pt idx="38">
                  <c:v>11.76</c:v>
                </c:pt>
                <c:pt idx="39">
                  <c:v>12.1</c:v>
                </c:pt>
                <c:pt idx="40">
                  <c:v>7.1</c:v>
                </c:pt>
                <c:pt idx="41">
                  <c:v>7.17</c:v>
                </c:pt>
                <c:pt idx="42">
                  <c:v>7.36</c:v>
                </c:pt>
                <c:pt idx="43">
                  <c:v>7.73</c:v>
                </c:pt>
                <c:pt idx="44">
                  <c:v>8.9600000000000009</c:v>
                </c:pt>
                <c:pt idx="45">
                  <c:v>9.93</c:v>
                </c:pt>
                <c:pt idx="46">
                  <c:v>10.59</c:v>
                </c:pt>
                <c:pt idx="47">
                  <c:v>11.98</c:v>
                </c:pt>
                <c:pt idx="48">
                  <c:v>12.58</c:v>
                </c:pt>
                <c:pt idx="49">
                  <c:v>12.86</c:v>
                </c:pt>
                <c:pt idx="50">
                  <c:v>7.19</c:v>
                </c:pt>
                <c:pt idx="51">
                  <c:v>8.01</c:v>
                </c:pt>
                <c:pt idx="52">
                  <c:v>8.85</c:v>
                </c:pt>
                <c:pt idx="53">
                  <c:v>9.59</c:v>
                </c:pt>
                <c:pt idx="54">
                  <c:v>10.48</c:v>
                </c:pt>
                <c:pt idx="55">
                  <c:v>11.04</c:v>
                </c:pt>
                <c:pt idx="56">
                  <c:v>11.5</c:v>
                </c:pt>
                <c:pt idx="57">
                  <c:v>11.81</c:v>
                </c:pt>
                <c:pt idx="58">
                  <c:v>11.97</c:v>
                </c:pt>
                <c:pt idx="59">
                  <c:v>11.67</c:v>
                </c:pt>
                <c:pt idx="60">
                  <c:v>5.33</c:v>
                </c:pt>
                <c:pt idx="61">
                  <c:v>6.19</c:v>
                </c:pt>
                <c:pt idx="62">
                  <c:v>7.24</c:v>
                </c:pt>
                <c:pt idx="63">
                  <c:v>7.24</c:v>
                </c:pt>
                <c:pt idx="64">
                  <c:v>7.51</c:v>
                </c:pt>
                <c:pt idx="65">
                  <c:v>8.7200000000000006</c:v>
                </c:pt>
                <c:pt idx="66">
                  <c:v>9.65</c:v>
                </c:pt>
                <c:pt idx="67">
                  <c:v>10.64</c:v>
                </c:pt>
                <c:pt idx="68">
                  <c:v>10.75</c:v>
                </c:pt>
                <c:pt idx="69">
                  <c:v>11.24</c:v>
                </c:pt>
                <c:pt idx="70">
                  <c:v>5.99</c:v>
                </c:pt>
                <c:pt idx="71">
                  <c:v>7.11</c:v>
                </c:pt>
                <c:pt idx="72">
                  <c:v>8.0399999999999991</c:v>
                </c:pt>
                <c:pt idx="73">
                  <c:v>8.01</c:v>
                </c:pt>
                <c:pt idx="74">
                  <c:v>8.56</c:v>
                </c:pt>
                <c:pt idx="75">
                  <c:v>9.31</c:v>
                </c:pt>
                <c:pt idx="76">
                  <c:v>9.9</c:v>
                </c:pt>
                <c:pt idx="77">
                  <c:v>10.42</c:v>
                </c:pt>
                <c:pt idx="78">
                  <c:v>10.71</c:v>
                </c:pt>
                <c:pt idx="79">
                  <c:v>10.94</c:v>
                </c:pt>
                <c:pt idx="80">
                  <c:v>5.46</c:v>
                </c:pt>
                <c:pt idx="81">
                  <c:v>6.05</c:v>
                </c:pt>
                <c:pt idx="82">
                  <c:v>6.37</c:v>
                </c:pt>
                <c:pt idx="83">
                  <c:v>7.37</c:v>
                </c:pt>
                <c:pt idx="84">
                  <c:v>8.32</c:v>
                </c:pt>
                <c:pt idx="85">
                  <c:v>9.36</c:v>
                </c:pt>
                <c:pt idx="86">
                  <c:v>10.220000000000001</c:v>
                </c:pt>
                <c:pt idx="87">
                  <c:v>10.86</c:v>
                </c:pt>
                <c:pt idx="88">
                  <c:v>11.34</c:v>
                </c:pt>
                <c:pt idx="89">
                  <c:v>11.6</c:v>
                </c:pt>
                <c:pt idx="90">
                  <c:v>8.06</c:v>
                </c:pt>
                <c:pt idx="91">
                  <c:v>8.39</c:v>
                </c:pt>
                <c:pt idx="92">
                  <c:v>8.52</c:v>
                </c:pt>
                <c:pt idx="93">
                  <c:v>8.76</c:v>
                </c:pt>
                <c:pt idx="94">
                  <c:v>9.2799999999999994</c:v>
                </c:pt>
                <c:pt idx="95">
                  <c:v>9.67</c:v>
                </c:pt>
                <c:pt idx="96">
                  <c:v>9.9700000000000006</c:v>
                </c:pt>
                <c:pt idx="97">
                  <c:v>11.57</c:v>
                </c:pt>
                <c:pt idx="98">
                  <c:v>12.46</c:v>
                </c:pt>
                <c:pt idx="99">
                  <c:v>12.67</c:v>
                </c:pt>
                <c:pt idx="100">
                  <c:v>6.84</c:v>
                </c:pt>
                <c:pt idx="101">
                  <c:v>7.15</c:v>
                </c:pt>
                <c:pt idx="102">
                  <c:v>7.58</c:v>
                </c:pt>
                <c:pt idx="103">
                  <c:v>8.3699999999999992</c:v>
                </c:pt>
                <c:pt idx="104">
                  <c:v>9.34</c:v>
                </c:pt>
                <c:pt idx="105">
                  <c:v>9.5399999999999991</c:v>
                </c:pt>
                <c:pt idx="106">
                  <c:v>9.9</c:v>
                </c:pt>
                <c:pt idx="107">
                  <c:v>10.95</c:v>
                </c:pt>
                <c:pt idx="108">
                  <c:v>11.36</c:v>
                </c:pt>
                <c:pt idx="109">
                  <c:v>11.6</c:v>
                </c:pt>
                <c:pt idx="110">
                  <c:v>8.27</c:v>
                </c:pt>
                <c:pt idx="111">
                  <c:v>8.85</c:v>
                </c:pt>
                <c:pt idx="112">
                  <c:v>9.39</c:v>
                </c:pt>
                <c:pt idx="113">
                  <c:v>9.31</c:v>
                </c:pt>
                <c:pt idx="114">
                  <c:v>9.48</c:v>
                </c:pt>
                <c:pt idx="115">
                  <c:v>10.75</c:v>
                </c:pt>
                <c:pt idx="116">
                  <c:v>11.57</c:v>
                </c:pt>
                <c:pt idx="117">
                  <c:v>11.89</c:v>
                </c:pt>
                <c:pt idx="118">
                  <c:v>11.98</c:v>
                </c:pt>
                <c:pt idx="119">
                  <c:v>11.83</c:v>
                </c:pt>
                <c:pt idx="120">
                  <c:v>8.0500000000000007</c:v>
                </c:pt>
                <c:pt idx="121">
                  <c:v>8.7899999999999991</c:v>
                </c:pt>
                <c:pt idx="122">
                  <c:v>9.69</c:v>
                </c:pt>
                <c:pt idx="123">
                  <c:v>10.37</c:v>
                </c:pt>
                <c:pt idx="124">
                  <c:v>10.64</c:v>
                </c:pt>
                <c:pt idx="125">
                  <c:v>10.8</c:v>
                </c:pt>
                <c:pt idx="126">
                  <c:v>11.03</c:v>
                </c:pt>
                <c:pt idx="127">
                  <c:v>11.8</c:v>
                </c:pt>
                <c:pt idx="128">
                  <c:v>12.45</c:v>
                </c:pt>
                <c:pt idx="129">
                  <c:v>13.57</c:v>
                </c:pt>
                <c:pt idx="130">
                  <c:v>5.87</c:v>
                </c:pt>
                <c:pt idx="131">
                  <c:v>6.45</c:v>
                </c:pt>
                <c:pt idx="132">
                  <c:v>7.09</c:v>
                </c:pt>
                <c:pt idx="133">
                  <c:v>7.63</c:v>
                </c:pt>
                <c:pt idx="134">
                  <c:v>8.32</c:v>
                </c:pt>
                <c:pt idx="135">
                  <c:v>9.0399999999999991</c:v>
                </c:pt>
                <c:pt idx="136">
                  <c:v>9.73</c:v>
                </c:pt>
                <c:pt idx="137">
                  <c:v>10.199999999999999</c:v>
                </c:pt>
                <c:pt idx="138">
                  <c:v>10.71</c:v>
                </c:pt>
                <c:pt idx="139">
                  <c:v>11.11</c:v>
                </c:pt>
                <c:pt idx="140">
                  <c:v>7.27</c:v>
                </c:pt>
                <c:pt idx="141">
                  <c:v>8.2100000000000009</c:v>
                </c:pt>
                <c:pt idx="142">
                  <c:v>8.5500000000000007</c:v>
                </c:pt>
                <c:pt idx="143">
                  <c:v>8.83</c:v>
                </c:pt>
                <c:pt idx="144">
                  <c:v>9.24</c:v>
                </c:pt>
                <c:pt idx="145">
                  <c:v>9.57</c:v>
                </c:pt>
                <c:pt idx="146">
                  <c:v>9.92</c:v>
                </c:pt>
                <c:pt idx="147">
                  <c:v>10.59</c:v>
                </c:pt>
                <c:pt idx="148">
                  <c:v>11.33</c:v>
                </c:pt>
                <c:pt idx="149">
                  <c:v>11.41</c:v>
                </c:pt>
                <c:pt idx="150">
                  <c:v>6.06</c:v>
                </c:pt>
                <c:pt idx="151">
                  <c:v>6.84</c:v>
                </c:pt>
                <c:pt idx="152">
                  <c:v>7.51</c:v>
                </c:pt>
                <c:pt idx="153">
                  <c:v>8.3800000000000008</c:v>
                </c:pt>
                <c:pt idx="154">
                  <c:v>9.19</c:v>
                </c:pt>
                <c:pt idx="155">
                  <c:v>10.06</c:v>
                </c:pt>
                <c:pt idx="156">
                  <c:v>10.43</c:v>
                </c:pt>
                <c:pt idx="157">
                  <c:v>10.6</c:v>
                </c:pt>
                <c:pt idx="158">
                  <c:v>11.06</c:v>
                </c:pt>
                <c:pt idx="159">
                  <c:v>11.53</c:v>
                </c:pt>
                <c:pt idx="160">
                  <c:v>8.48</c:v>
                </c:pt>
                <c:pt idx="161">
                  <c:v>9.2799999999999994</c:v>
                </c:pt>
                <c:pt idx="162">
                  <c:v>9.8699999999999992</c:v>
                </c:pt>
                <c:pt idx="163">
                  <c:v>10.220000000000001</c:v>
                </c:pt>
                <c:pt idx="164">
                  <c:v>10.59</c:v>
                </c:pt>
                <c:pt idx="165">
                  <c:v>10.88</c:v>
                </c:pt>
                <c:pt idx="166">
                  <c:v>11.14</c:v>
                </c:pt>
                <c:pt idx="167">
                  <c:v>11.15</c:v>
                </c:pt>
                <c:pt idx="168">
                  <c:v>11.71</c:v>
                </c:pt>
                <c:pt idx="169">
                  <c:v>11.74</c:v>
                </c:pt>
                <c:pt idx="170">
                  <c:v>7.63</c:v>
                </c:pt>
                <c:pt idx="171">
                  <c:v>8.19</c:v>
                </c:pt>
                <c:pt idx="172">
                  <c:v>8.31</c:v>
                </c:pt>
                <c:pt idx="173">
                  <c:v>8.69</c:v>
                </c:pt>
                <c:pt idx="174">
                  <c:v>9.75</c:v>
                </c:pt>
                <c:pt idx="175">
                  <c:v>10.32</c:v>
                </c:pt>
                <c:pt idx="176">
                  <c:v>10.74</c:v>
                </c:pt>
                <c:pt idx="177">
                  <c:v>11.36</c:v>
                </c:pt>
                <c:pt idx="178">
                  <c:v>11.62</c:v>
                </c:pt>
                <c:pt idx="179">
                  <c:v>11.84</c:v>
                </c:pt>
                <c:pt idx="180">
                  <c:v>3.17</c:v>
                </c:pt>
                <c:pt idx="181">
                  <c:v>4.2699999999999996</c:v>
                </c:pt>
                <c:pt idx="182">
                  <c:v>5.45</c:v>
                </c:pt>
                <c:pt idx="183">
                  <c:v>6.08</c:v>
                </c:pt>
                <c:pt idx="184">
                  <c:v>6.73</c:v>
                </c:pt>
                <c:pt idx="185">
                  <c:v>7.49</c:v>
                </c:pt>
                <c:pt idx="186">
                  <c:v>8.41</c:v>
                </c:pt>
                <c:pt idx="187">
                  <c:v>8.1199999999999992</c:v>
                </c:pt>
                <c:pt idx="188">
                  <c:v>8.7100000000000009</c:v>
                </c:pt>
                <c:pt idx="189">
                  <c:v>9.14</c:v>
                </c:pt>
                <c:pt idx="190">
                  <c:v>7.05</c:v>
                </c:pt>
                <c:pt idx="191">
                  <c:v>8.09</c:v>
                </c:pt>
                <c:pt idx="192">
                  <c:v>8.7799999999999994</c:v>
                </c:pt>
                <c:pt idx="193">
                  <c:v>9.33</c:v>
                </c:pt>
                <c:pt idx="194">
                  <c:v>9.84</c:v>
                </c:pt>
                <c:pt idx="195">
                  <c:v>10.37</c:v>
                </c:pt>
                <c:pt idx="196">
                  <c:v>10.7</c:v>
                </c:pt>
                <c:pt idx="197">
                  <c:v>10.89</c:v>
                </c:pt>
                <c:pt idx="198">
                  <c:v>11.24</c:v>
                </c:pt>
                <c:pt idx="199">
                  <c:v>11.07</c:v>
                </c:pt>
                <c:pt idx="200">
                  <c:v>8.65</c:v>
                </c:pt>
                <c:pt idx="201">
                  <c:v>9.6199999999999992</c:v>
                </c:pt>
                <c:pt idx="202">
                  <c:v>10.3</c:v>
                </c:pt>
                <c:pt idx="203">
                  <c:v>10.65</c:v>
                </c:pt>
                <c:pt idx="204">
                  <c:v>11.03</c:v>
                </c:pt>
                <c:pt idx="205">
                  <c:v>11.41</c:v>
                </c:pt>
                <c:pt idx="206">
                  <c:v>11.72</c:v>
                </c:pt>
                <c:pt idx="207">
                  <c:v>11.86</c:v>
                </c:pt>
                <c:pt idx="208">
                  <c:v>11.95</c:v>
                </c:pt>
                <c:pt idx="209">
                  <c:v>11.89</c:v>
                </c:pt>
              </c:numCache>
            </c:numRef>
          </c:xVal>
          <c:yVal>
            <c:numRef>
              <c:f>'Education Against GDP'!$C$2:$C$211</c:f>
              <c:numCache>
                <c:formatCode>General</c:formatCode>
                <c:ptCount val="210"/>
                <c:pt idx="0">
                  <c:v>14849.1872</c:v>
                </c:pt>
                <c:pt idx="1">
                  <c:v>18023.847529999999</c:v>
                </c:pt>
                <c:pt idx="2">
                  <c:v>19818.82317</c:v>
                </c:pt>
                <c:pt idx="3">
                  <c:v>21257.533899999999</c:v>
                </c:pt>
                <c:pt idx="4">
                  <c:v>26436.62587</c:v>
                </c:pt>
                <c:pt idx="5">
                  <c:v>31209.046590000002</c:v>
                </c:pt>
                <c:pt idx="6">
                  <c:v>36734.445059999998</c:v>
                </c:pt>
                <c:pt idx="7">
                  <c:v>42146.869059999997</c:v>
                </c:pt>
                <c:pt idx="8">
                  <c:v>46593.115449999998</c:v>
                </c:pt>
                <c:pt idx="9">
                  <c:v>48823.9</c:v>
                </c:pt>
                <c:pt idx="10">
                  <c:v>15965.01763</c:v>
                </c:pt>
                <c:pt idx="11">
                  <c:v>19820.050510000001</c:v>
                </c:pt>
                <c:pt idx="12">
                  <c:v>22463.934870000001</c:v>
                </c:pt>
                <c:pt idx="13">
                  <c:v>21396.438340000001</c:v>
                </c:pt>
                <c:pt idx="14">
                  <c:v>25881.449130000001</c:v>
                </c:pt>
                <c:pt idx="15">
                  <c:v>28700.01396</c:v>
                </c:pt>
                <c:pt idx="16">
                  <c:v>32836.781479999998</c:v>
                </c:pt>
                <c:pt idx="17">
                  <c:v>38548.958299999998</c:v>
                </c:pt>
                <c:pt idx="18">
                  <c:v>43673.030530000004</c:v>
                </c:pt>
                <c:pt idx="19">
                  <c:v>43954.07862</c:v>
                </c:pt>
                <c:pt idx="20">
                  <c:v>6186.073934</c:v>
                </c:pt>
                <c:pt idx="21">
                  <c:v>6495.1063329999997</c:v>
                </c:pt>
                <c:pt idx="22">
                  <c:v>8557.4410960000005</c:v>
                </c:pt>
                <c:pt idx="23">
                  <c:v>10640.9439</c:v>
                </c:pt>
                <c:pt idx="24">
                  <c:v>12344.45984</c:v>
                </c:pt>
                <c:pt idx="25">
                  <c:v>9490.892468</c:v>
                </c:pt>
                <c:pt idx="26">
                  <c:v>9820.5245809999997</c:v>
                </c:pt>
                <c:pt idx="27">
                  <c:v>13041.3439</c:v>
                </c:pt>
                <c:pt idx="28">
                  <c:v>16528.429380000001</c:v>
                </c:pt>
                <c:pt idx="29">
                  <c:v>15543.711439999999</c:v>
                </c:pt>
                <c:pt idx="30">
                  <c:v>8407.3365329999997</c:v>
                </c:pt>
                <c:pt idx="31">
                  <c:v>9043.5631599999997</c:v>
                </c:pt>
                <c:pt idx="32">
                  <c:v>14674.56659</c:v>
                </c:pt>
                <c:pt idx="33">
                  <c:v>18029.618139999999</c:v>
                </c:pt>
                <c:pt idx="34">
                  <c:v>21721.72136</c:v>
                </c:pt>
                <c:pt idx="35">
                  <c:v>22681.11737</c:v>
                </c:pt>
                <c:pt idx="36">
                  <c:v>25924.902320000001</c:v>
                </c:pt>
                <c:pt idx="37">
                  <c:v>27961.186280000002</c:v>
                </c:pt>
                <c:pt idx="38">
                  <c:v>31669.054329999999</c:v>
                </c:pt>
                <c:pt idx="39">
                  <c:v>34758.555500000002</c:v>
                </c:pt>
                <c:pt idx="40">
                  <c:v>15640.696459999999</c:v>
                </c:pt>
                <c:pt idx="41">
                  <c:v>18719.650239999999</c:v>
                </c:pt>
                <c:pt idx="42">
                  <c:v>21448.89561</c:v>
                </c:pt>
                <c:pt idx="43">
                  <c:v>22275.659039999999</c:v>
                </c:pt>
                <c:pt idx="44">
                  <c:v>27900.204849999998</c:v>
                </c:pt>
                <c:pt idx="45">
                  <c:v>32318.119019999998</c:v>
                </c:pt>
                <c:pt idx="46">
                  <c:v>36883.871149999999</c:v>
                </c:pt>
                <c:pt idx="47">
                  <c:v>41462.384339999997</c:v>
                </c:pt>
                <c:pt idx="48">
                  <c:v>46001.642570000004</c:v>
                </c:pt>
                <c:pt idx="49">
                  <c:v>48398.824619999999</c:v>
                </c:pt>
                <c:pt idx="50">
                  <c:v>19931.568340000002</c:v>
                </c:pt>
                <c:pt idx="51">
                  <c:v>21646.18549</c:v>
                </c:pt>
                <c:pt idx="52">
                  <c:v>23500.55629</c:v>
                </c:pt>
                <c:pt idx="53">
                  <c:v>25220.437539999999</c:v>
                </c:pt>
                <c:pt idx="54">
                  <c:v>27735.800370000001</c:v>
                </c:pt>
                <c:pt idx="55">
                  <c:v>30681.94313</c:v>
                </c:pt>
                <c:pt idx="56">
                  <c:v>36229.464670000001</c:v>
                </c:pt>
                <c:pt idx="57">
                  <c:v>42107.603040000002</c:v>
                </c:pt>
                <c:pt idx="58">
                  <c:v>48389.470630000003</c:v>
                </c:pt>
                <c:pt idx="59">
                  <c:v>47782.713069999998</c:v>
                </c:pt>
                <c:pt idx="60">
                  <c:v>11834.18325</c:v>
                </c:pt>
                <c:pt idx="61">
                  <c:v>14559.436379999999</c:v>
                </c:pt>
                <c:pt idx="62">
                  <c:v>15428.86238</c:v>
                </c:pt>
                <c:pt idx="63">
                  <c:v>14384.02751</c:v>
                </c:pt>
                <c:pt idx="64">
                  <c:v>18410.861570000001</c:v>
                </c:pt>
                <c:pt idx="65">
                  <c:v>21881.4961</c:v>
                </c:pt>
                <c:pt idx="66">
                  <c:v>27729.905279999999</c:v>
                </c:pt>
                <c:pt idx="67">
                  <c:v>32560.923330000001</c:v>
                </c:pt>
                <c:pt idx="68">
                  <c:v>34905.8076</c:v>
                </c:pt>
                <c:pt idx="69">
                  <c:v>37631.060729999997</c:v>
                </c:pt>
                <c:pt idx="70">
                  <c:v>15321.62095</c:v>
                </c:pt>
                <c:pt idx="71">
                  <c:v>18171.146860000001</c:v>
                </c:pt>
                <c:pt idx="72">
                  <c:v>20667.742200000001</c:v>
                </c:pt>
                <c:pt idx="73">
                  <c:v>23032.944210000001</c:v>
                </c:pt>
                <c:pt idx="74">
                  <c:v>26147.91548</c:v>
                </c:pt>
                <c:pt idx="75">
                  <c:v>27153.24382</c:v>
                </c:pt>
                <c:pt idx="76">
                  <c:v>35059.192150000003</c:v>
                </c:pt>
                <c:pt idx="77">
                  <c:v>40201.131730000001</c:v>
                </c:pt>
                <c:pt idx="78">
                  <c:v>43880.943850000003</c:v>
                </c:pt>
                <c:pt idx="79">
                  <c:v>45506.523950000003</c:v>
                </c:pt>
                <c:pt idx="80">
                  <c:v>17419.00347</c:v>
                </c:pt>
                <c:pt idx="81">
                  <c:v>21435.714520000001</c:v>
                </c:pt>
                <c:pt idx="82">
                  <c:v>24363.5959</c:v>
                </c:pt>
                <c:pt idx="83">
                  <c:v>23685.79134</c:v>
                </c:pt>
                <c:pt idx="84">
                  <c:v>26770.422500000001</c:v>
                </c:pt>
                <c:pt idx="85">
                  <c:v>28495.418549999999</c:v>
                </c:pt>
                <c:pt idx="86">
                  <c:v>34272.040560000001</c:v>
                </c:pt>
                <c:pt idx="87">
                  <c:v>37035.351000000002</c:v>
                </c:pt>
                <c:pt idx="88">
                  <c:v>40068.056329999999</c:v>
                </c:pt>
                <c:pt idx="89">
                  <c:v>41673.513579999999</c:v>
                </c:pt>
                <c:pt idx="90">
                  <c:v>16690.449720000001</c:v>
                </c:pt>
                <c:pt idx="91">
                  <c:v>18406.52493</c:v>
                </c:pt>
                <c:pt idx="92">
                  <c:v>21640.718959999998</c:v>
                </c:pt>
                <c:pt idx="93">
                  <c:v>22908.843349999999</c:v>
                </c:pt>
                <c:pt idx="94">
                  <c:v>24807.66804</c:v>
                </c:pt>
                <c:pt idx="95">
                  <c:v>27942.74987</c:v>
                </c:pt>
                <c:pt idx="96">
                  <c:v>34477.415000000001</c:v>
                </c:pt>
                <c:pt idx="97">
                  <c:v>38374.07402</c:v>
                </c:pt>
                <c:pt idx="98">
                  <c:v>39125.525079999999</c:v>
                </c:pt>
                <c:pt idx="99">
                  <c:v>42181.850489999997</c:v>
                </c:pt>
                <c:pt idx="100">
                  <c:v>11432.80168</c:v>
                </c:pt>
                <c:pt idx="101">
                  <c:v>14192.092070000001</c:v>
                </c:pt>
                <c:pt idx="102">
                  <c:v>15541.554910000001</c:v>
                </c:pt>
                <c:pt idx="103">
                  <c:v>15445.35994</c:v>
                </c:pt>
                <c:pt idx="104">
                  <c:v>17984.22741</c:v>
                </c:pt>
                <c:pt idx="105">
                  <c:v>20594.576290000001</c:v>
                </c:pt>
                <c:pt idx="106">
                  <c:v>25369.214459999999</c:v>
                </c:pt>
                <c:pt idx="107">
                  <c:v>29581.377489999999</c:v>
                </c:pt>
                <c:pt idx="108">
                  <c:v>29585.39415</c:v>
                </c:pt>
                <c:pt idx="109">
                  <c:v>31934.852180000002</c:v>
                </c:pt>
                <c:pt idx="110">
                  <c:v>5905.0356300000003</c:v>
                </c:pt>
                <c:pt idx="111">
                  <c:v>7686.1045190000004</c:v>
                </c:pt>
                <c:pt idx="112">
                  <c:v>11322.936390000001</c:v>
                </c:pt>
                <c:pt idx="113">
                  <c:v>12469.803239999999</c:v>
                </c:pt>
                <c:pt idx="114">
                  <c:v>13604.81638</c:v>
                </c:pt>
                <c:pt idx="115">
                  <c:v>14594.21236</c:v>
                </c:pt>
                <c:pt idx="116">
                  <c:v>16635.677319999999</c:v>
                </c:pt>
                <c:pt idx="117">
                  <c:v>20438.661209999998</c:v>
                </c:pt>
                <c:pt idx="118">
                  <c:v>23628.196619999999</c:v>
                </c:pt>
                <c:pt idx="119">
                  <c:v>24190.06638</c:v>
                </c:pt>
                <c:pt idx="120">
                  <c:v>9409.612545</c:v>
                </c:pt>
                <c:pt idx="121">
                  <c:v>11098.304109999999</c:v>
                </c:pt>
                <c:pt idx="122">
                  <c:v>13822.244259999999</c:v>
                </c:pt>
                <c:pt idx="123">
                  <c:v>14498.856970000001</c:v>
                </c:pt>
                <c:pt idx="124">
                  <c:v>18622.77463</c:v>
                </c:pt>
                <c:pt idx="125">
                  <c:v>25613.407640000001</c:v>
                </c:pt>
                <c:pt idx="126">
                  <c:v>39505.062279999998</c:v>
                </c:pt>
                <c:pt idx="127">
                  <c:v>54774.700109999998</c:v>
                </c:pt>
                <c:pt idx="128">
                  <c:v>54049.747190000002</c:v>
                </c:pt>
                <c:pt idx="129">
                  <c:v>57827.460520000001</c:v>
                </c:pt>
                <c:pt idx="130">
                  <c:v>12535.70033</c:v>
                </c:pt>
                <c:pt idx="131">
                  <c:v>16300.875739999999</c:v>
                </c:pt>
                <c:pt idx="132">
                  <c:v>20824.758839999999</c:v>
                </c:pt>
                <c:pt idx="133">
                  <c:v>21948.85828</c:v>
                </c:pt>
                <c:pt idx="134">
                  <c:v>26788.273430000001</c:v>
                </c:pt>
                <c:pt idx="135">
                  <c:v>30366.647700000001</c:v>
                </c:pt>
                <c:pt idx="136">
                  <c:v>35381.635730000002</c:v>
                </c:pt>
                <c:pt idx="137">
                  <c:v>36758.643089999998</c:v>
                </c:pt>
                <c:pt idx="138">
                  <c:v>38984.442459999998</c:v>
                </c:pt>
                <c:pt idx="139">
                  <c:v>43712.743990000003</c:v>
                </c:pt>
                <c:pt idx="140">
                  <c:v>22987.350869999998</c:v>
                </c:pt>
                <c:pt idx="141">
                  <c:v>26015.136920000001</c:v>
                </c:pt>
                <c:pt idx="142">
                  <c:v>27363.228279999999</c:v>
                </c:pt>
                <c:pt idx="143">
                  <c:v>28114.805130000001</c:v>
                </c:pt>
                <c:pt idx="144">
                  <c:v>39139.874680000001</c:v>
                </c:pt>
                <c:pt idx="145">
                  <c:v>47524.888780000001</c:v>
                </c:pt>
                <c:pt idx="146">
                  <c:v>60704.849260000003</c:v>
                </c:pt>
                <c:pt idx="147">
                  <c:v>62014.844920000003</c:v>
                </c:pt>
                <c:pt idx="148">
                  <c:v>66059.439039999997</c:v>
                </c:pt>
                <c:pt idx="149">
                  <c:v>72745.55773</c:v>
                </c:pt>
                <c:pt idx="150">
                  <c:v>3537.231374</c:v>
                </c:pt>
                <c:pt idx="151">
                  <c:v>6499.9584100000002</c:v>
                </c:pt>
                <c:pt idx="152">
                  <c:v>11471.21379</c:v>
                </c:pt>
                <c:pt idx="153">
                  <c:v>12773.21688</c:v>
                </c:pt>
                <c:pt idx="154">
                  <c:v>15175.218940000001</c:v>
                </c:pt>
                <c:pt idx="155">
                  <c:v>17456.577799999999</c:v>
                </c:pt>
                <c:pt idx="156">
                  <c:v>22480.719539999998</c:v>
                </c:pt>
                <c:pt idx="157">
                  <c:v>24746.668860000002</c:v>
                </c:pt>
                <c:pt idx="158">
                  <c:v>27241.285469999999</c:v>
                </c:pt>
                <c:pt idx="159">
                  <c:v>30397.34791</c:v>
                </c:pt>
                <c:pt idx="160">
                  <c:v>18912.46485</c:v>
                </c:pt>
                <c:pt idx="161">
                  <c:v>23280.802589999999</c:v>
                </c:pt>
                <c:pt idx="162">
                  <c:v>25208.299930000001</c:v>
                </c:pt>
                <c:pt idx="163">
                  <c:v>24687.257450000001</c:v>
                </c:pt>
                <c:pt idx="164">
                  <c:v>27958.85023</c:v>
                </c:pt>
                <c:pt idx="165">
                  <c:v>32362.490570000002</c:v>
                </c:pt>
                <c:pt idx="166">
                  <c:v>40791.373240000001</c:v>
                </c:pt>
                <c:pt idx="167">
                  <c:v>47637.03471</c:v>
                </c:pt>
                <c:pt idx="168">
                  <c:v>52096.770320000003</c:v>
                </c:pt>
                <c:pt idx="169">
                  <c:v>52935.646370000002</c:v>
                </c:pt>
                <c:pt idx="170">
                  <c:v>2317.97201</c:v>
                </c:pt>
                <c:pt idx="171">
                  <c:v>7271.7645990000001</c:v>
                </c:pt>
                <c:pt idx="172">
                  <c:v>7054.852108</c:v>
                </c:pt>
                <c:pt idx="173">
                  <c:v>7919.7061110000004</c:v>
                </c:pt>
                <c:pt idx="174">
                  <c:v>9074.7373200000002</c:v>
                </c:pt>
                <c:pt idx="175">
                  <c:v>11667.650439999999</c:v>
                </c:pt>
                <c:pt idx="176">
                  <c:v>14928.61507</c:v>
                </c:pt>
                <c:pt idx="177">
                  <c:v>17260.985209999999</c:v>
                </c:pt>
                <c:pt idx="178">
                  <c:v>23228.420249999999</c:v>
                </c:pt>
                <c:pt idx="179">
                  <c:v>22283.710770000002</c:v>
                </c:pt>
                <c:pt idx="180">
                  <c:v>8479.163305</c:v>
                </c:pt>
                <c:pt idx="181">
                  <c:v>10400.98681</c:v>
                </c:pt>
                <c:pt idx="182">
                  <c:v>11318.858270000001</c:v>
                </c:pt>
                <c:pt idx="183">
                  <c:v>11474.720219999999</c:v>
                </c:pt>
                <c:pt idx="184">
                  <c:v>15646.943740000001</c:v>
                </c:pt>
                <c:pt idx="185">
                  <c:v>19159.083350000001</c:v>
                </c:pt>
                <c:pt idx="186">
                  <c:v>23948.697469999999</c:v>
                </c:pt>
                <c:pt idx="187">
                  <c:v>26272.525979999999</c:v>
                </c:pt>
                <c:pt idx="188">
                  <c:v>28303.312099999999</c:v>
                </c:pt>
                <c:pt idx="189">
                  <c:v>30543.970209999999</c:v>
                </c:pt>
                <c:pt idx="190">
                  <c:v>3119.9323180000001</c:v>
                </c:pt>
                <c:pt idx="191">
                  <c:v>4916.2684740000004</c:v>
                </c:pt>
                <c:pt idx="192">
                  <c:v>6711.0913119999996</c:v>
                </c:pt>
                <c:pt idx="193">
                  <c:v>7775.0408660000003</c:v>
                </c:pt>
                <c:pt idx="194">
                  <c:v>7842.2348380000003</c:v>
                </c:pt>
                <c:pt idx="195">
                  <c:v>8224.3357130000004</c:v>
                </c:pt>
                <c:pt idx="196">
                  <c:v>8844.5134859999998</c:v>
                </c:pt>
                <c:pt idx="197">
                  <c:v>12607.216969999999</c:v>
                </c:pt>
                <c:pt idx="198">
                  <c:v>18600.94541</c:v>
                </c:pt>
                <c:pt idx="199">
                  <c:v>18600.94541</c:v>
                </c:pt>
                <c:pt idx="200">
                  <c:v>19331.147639999999</c:v>
                </c:pt>
                <c:pt idx="201">
                  <c:v>21638.100460000001</c:v>
                </c:pt>
                <c:pt idx="202">
                  <c:v>22680.439590000002</c:v>
                </c:pt>
                <c:pt idx="203">
                  <c:v>26022.173599999998</c:v>
                </c:pt>
                <c:pt idx="204">
                  <c:v>29861.03212</c:v>
                </c:pt>
                <c:pt idx="205">
                  <c:v>31377.51238</c:v>
                </c:pt>
                <c:pt idx="206">
                  <c:v>37952.309780000003</c:v>
                </c:pt>
                <c:pt idx="207">
                  <c:v>43044.13925</c:v>
                </c:pt>
                <c:pt idx="208">
                  <c:v>47400.177779999998</c:v>
                </c:pt>
                <c:pt idx="209">
                  <c:v>48733.557739999997</c:v>
                </c:pt>
              </c:numCache>
            </c:numRef>
          </c:yVal>
          <c:smooth val="0"/>
          <c:extLst>
            <c:ext xmlns:c16="http://schemas.microsoft.com/office/drawing/2014/chart" uri="{C3380CC4-5D6E-409C-BE32-E72D297353CC}">
              <c16:uniqueId val="{00000001-AFDD-4A33-805C-4290C2C2076A}"/>
            </c:ext>
          </c:extLst>
        </c:ser>
        <c:dLbls>
          <c:showLegendKey val="0"/>
          <c:showVal val="0"/>
          <c:showCatName val="0"/>
          <c:showSerName val="0"/>
          <c:showPercent val="0"/>
          <c:showBubbleSize val="0"/>
        </c:dLbls>
        <c:axId val="1294749520"/>
        <c:axId val="1292621184"/>
      </c:scatterChart>
      <c:valAx>
        <c:axId val="1294749520"/>
        <c:scaling>
          <c:orientation val="minMax"/>
          <c:max val="14"/>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Years of Education</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2621184"/>
        <c:crosses val="autoZero"/>
        <c:crossBetween val="midCat"/>
      </c:valAx>
      <c:valAx>
        <c:axId val="1292621184"/>
        <c:scaling>
          <c:orientation val="minMax"/>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GDP Output per Capita</a:t>
                </a:r>
              </a:p>
            </c:rich>
          </c:tx>
          <c:layout>
            <c:manualLayout>
              <c:xMode val="edge"/>
              <c:yMode val="edge"/>
              <c:x val="1.9942388654996677E-2"/>
              <c:y val="0.27002704898080865"/>
            </c:manualLayout>
          </c:layout>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0"/>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94749520"/>
        <c:crosses val="autoZero"/>
        <c:crossBetween val="midCat"/>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no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F02914E-4C3A-4163-A6C9-332A453E9DC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TF_Template_Word_Windows_2016</Template>
  <TotalTime>113</TotalTime>
  <Pages>9</Pages>
  <Words>1780</Words>
  <Characters>10147</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TF_Template_Word_Windows_2016</vt:lpstr>
    </vt:vector>
  </TitlesOfParts>
  <Company>Informa Plc</Company>
  <LinksUpToDate>false</LinksUpToDate>
  <CharactersWithSpaces>11904</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TF_Template_Word_Windows_2016</dc:title>
  <dc:creator>Jack O'Callaghan</dc:creator>
  <cp:lastModifiedBy>O'Callaghan, Jack (SIG - Business Growth)</cp:lastModifiedBy>
  <cp:revision>117</cp:revision>
  <cp:lastPrinted>2011-07-22T14:54:00Z</cp:lastPrinted>
  <dcterms:created xsi:type="dcterms:W3CDTF">2023-11-16T16:33:00Z</dcterms:created>
  <dcterms:modified xsi:type="dcterms:W3CDTF">2023-11-16T20:42:00Z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a62f585-b40f-4ab9-bafe-39150f03d124_Enabled">
    <vt:lpwstr>true</vt:lpwstr>
  </property>
  <property fmtid="{D5CDD505-2E9C-101B-9397-08002B2CF9AE}" pid="3" name="MSIP_Label_ba62f585-b40f-4ab9-bafe-39150f03d124_SetDate">
    <vt:lpwstr>2023-11-16T19:12:43Z</vt:lpwstr>
  </property>
  <property fmtid="{D5CDD505-2E9C-101B-9397-08002B2CF9AE}" pid="4" name="MSIP_Label_ba62f585-b40f-4ab9-bafe-39150f03d124_Method">
    <vt:lpwstr>Standard</vt:lpwstr>
  </property>
  <property fmtid="{D5CDD505-2E9C-101B-9397-08002B2CF9AE}" pid="5" name="MSIP_Label_ba62f585-b40f-4ab9-bafe-39150f03d124_Name">
    <vt:lpwstr>OFFICIAL</vt:lpwstr>
  </property>
  <property fmtid="{D5CDD505-2E9C-101B-9397-08002B2CF9AE}" pid="6" name="MSIP_Label_ba62f585-b40f-4ab9-bafe-39150f03d124_SiteId">
    <vt:lpwstr>cbac7005-02c1-43eb-b497-e6492d1b2dd8</vt:lpwstr>
  </property>
  <property fmtid="{D5CDD505-2E9C-101B-9397-08002B2CF9AE}" pid="7" name="MSIP_Label_ba62f585-b40f-4ab9-bafe-39150f03d124_ActionId">
    <vt:lpwstr>1f9c1ae4-3bd6-4230-a31d-98da0777da96</vt:lpwstr>
  </property>
  <property fmtid="{D5CDD505-2E9C-101B-9397-08002B2CF9AE}" pid="8" name="MSIP_Label_ba62f585-b40f-4ab9-bafe-39150f03d124_ContentBits">
    <vt:lpwstr>0</vt:lpwstr>
  </property>
</Properties>
</file>