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01DAC">
      <w:pPr>
        <w:pStyle w:val="4"/>
        <w:jc w:val="both"/>
        <w:rPr>
          <w:color w:val="376092" w:themeColor="accent1" w:themeShade="BF"/>
          <w:sz w:val="28"/>
          <w:szCs w:val="28"/>
        </w:rPr>
      </w:pPr>
      <w:r>
        <w:rPr>
          <w:color w:val="376092" w:themeColor="accent1" w:themeShade="BF"/>
          <w:sz w:val="28"/>
          <w:szCs w:val="28"/>
        </w:rPr>
        <w:t>Forest Cover Validation Framework for Multi-Temporal Land Cover Maps</w:t>
      </w:r>
    </w:p>
    <w:p w14:paraId="51A88278">
      <w:pPr>
        <w:pStyle w:val="4"/>
        <w:jc w:val="both"/>
      </w:pPr>
      <w:r>
        <w:t>Overview</w:t>
      </w:r>
    </w:p>
    <w:p w14:paraId="48A20CBC">
      <w:pPr>
        <w:jc w:val="both"/>
      </w:pPr>
      <w:r>
        <w:t>This document summarises the processing workflow to be implemented in the project toolbox (Python library, demo notebooks, test code and data, and documentation) for validating multi-temporal categorical forest cover maps.  The analysis will be conducted over selected study basins (vector boundaries provided) and will use legend-harmonised, analysis-ready categorical land cover maps. The focus is on validating forest and related classes (i.e. cropland, grassland, shrubland) using independently collected ground-truth data.</w:t>
      </w:r>
    </w:p>
    <w:p w14:paraId="6347EBF4">
      <w:pPr>
        <w:pStyle w:val="4"/>
        <w:jc w:val="both"/>
      </w:pPr>
      <w:r>
        <w:t>Data</w:t>
      </w:r>
    </w:p>
    <w:p w14:paraId="025F6690">
      <w:pPr>
        <w:pStyle w:val="16"/>
        <w:numPr>
          <w:ilvl w:val="0"/>
          <w:numId w:val="0"/>
        </w:numPr>
        <w:ind w:left="360"/>
        <w:jc w:val="both"/>
      </w:pPr>
      <w:r>
        <w:t>The following analysis-ready datasets are provided. Land cover maps are already clipped over an equal geographic area (Mediterranean basin) and harmonised on a common 10-class legend (called “MOLCA”):</w:t>
      </w:r>
    </w:p>
    <w:p w14:paraId="71DCF6C3">
      <w:pPr>
        <w:pStyle w:val="16"/>
        <w:numPr>
          <w:ilvl w:val="0"/>
          <w:numId w:val="0"/>
        </w:numPr>
        <w:ind w:left="360"/>
        <w:jc w:val="both"/>
      </w:pPr>
    </w:p>
    <w:p w14:paraId="5933E7E6">
      <w:pPr>
        <w:pStyle w:val="16"/>
        <w:jc w:val="both"/>
      </w:pPr>
      <w:r>
        <w:t xml:space="preserve">ESA CCI LC 300m: </w:t>
      </w:r>
      <w:r>
        <w:fldChar w:fldCharType="begin"/>
      </w:r>
      <w:r>
        <w:instrText xml:space="preserve"> HYPERLINK "https://cds.climate.copernicus.eu/datasets/satellite-land-cover?tab=overview" </w:instrText>
      </w:r>
      <w:r>
        <w:fldChar w:fldCharType="separate"/>
      </w:r>
      <w:r>
        <w:rPr>
          <w:rStyle w:val="134"/>
        </w:rPr>
        <w:t>https://cds.climate.copernicus.eu/datasets/satellite-land-cover?tab=overview</w:t>
      </w:r>
      <w:r>
        <w:rPr>
          <w:rStyle w:val="136"/>
        </w:rPr>
        <w:fldChar w:fldCharType="end"/>
      </w:r>
      <w:r>
        <w:t xml:space="preserve"> </w:t>
      </w:r>
    </w:p>
    <w:p w14:paraId="2F080F83">
      <w:pPr>
        <w:pStyle w:val="16"/>
        <w:jc w:val="both"/>
      </w:pPr>
      <w:r>
        <w:t xml:space="preserve">GLC_FCS30D Global 30-meter Land Cover Change Dataset: </w:t>
      </w:r>
      <w:r>
        <w:fldChar w:fldCharType="begin"/>
      </w:r>
      <w:r>
        <w:instrText xml:space="preserve"> HYPERLINK "https://zenodo.org/records/8239305" </w:instrText>
      </w:r>
      <w:r>
        <w:fldChar w:fldCharType="separate"/>
      </w:r>
      <w:r>
        <w:rPr>
          <w:rStyle w:val="136"/>
        </w:rPr>
        <w:t>https://zenodo.org/records/8239305</w:t>
      </w:r>
      <w:r>
        <w:rPr>
          <w:rStyle w:val="136"/>
        </w:rPr>
        <w:fldChar w:fldCharType="end"/>
      </w:r>
      <w:r>
        <w:t xml:space="preserve">  </w:t>
      </w:r>
    </w:p>
    <w:p w14:paraId="1E5F9F8D">
      <w:pPr>
        <w:pStyle w:val="16"/>
        <w:jc w:val="both"/>
      </w:pPr>
      <w:r>
        <w:t>Vector boundaries of 4 study basins (areas of analysis)</w:t>
      </w:r>
    </w:p>
    <w:p w14:paraId="0BCF6BA8">
      <w:pPr>
        <w:pStyle w:val="4"/>
        <w:jc w:val="both"/>
      </w:pPr>
      <w:r>
        <w:t>Processing Workflow</w:t>
      </w:r>
      <w:bookmarkStart w:id="0" w:name="_GoBack"/>
      <w:bookmarkEnd w:id="0"/>
    </w:p>
    <w:p w14:paraId="7BC9E928">
      <w:pPr>
        <w:pStyle w:val="16"/>
        <w:jc w:val="both"/>
      </w:pPr>
      <w:r>
        <w:t>Data harmonisation: Alignment of spatial grids (clip of different study basins), temporal coverage, projections (legend harmonisation already provided for the test dataset).</w:t>
      </w:r>
    </w:p>
    <w:p w14:paraId="09DA4D07">
      <w:pPr>
        <w:pStyle w:val="16"/>
        <w:jc w:val="both"/>
      </w:pPr>
      <w:r>
        <w:t xml:space="preserve">Ground truth data collection (suggested the use of </w:t>
      </w:r>
      <w:r>
        <w:fldChar w:fldCharType="begin"/>
      </w:r>
      <w:r>
        <w:instrText xml:space="preserve"> HYPERLINK "https://www.openforis.org/collect-earth-tutorials" </w:instrText>
      </w:r>
      <w:r>
        <w:fldChar w:fldCharType="separate"/>
      </w:r>
      <w:r>
        <w:rPr>
          <w:rStyle w:val="136"/>
        </w:rPr>
        <w:t>https://www.openforis.org/collect-earth-tutorials</w:t>
      </w:r>
      <w:r>
        <w:rPr>
          <w:rStyle w:val="136"/>
        </w:rPr>
        <w:fldChar w:fldCharType="end"/>
      </w:r>
      <w:r>
        <w:t>). (optional, if provided by the tutor: extend validation dataset with forest inventories data)</w:t>
      </w:r>
    </w:p>
    <w:p w14:paraId="201E8D2B">
      <w:pPr>
        <w:pStyle w:val="16"/>
        <w:jc w:val="both"/>
      </w:pPr>
      <w:r>
        <w:t>Accuracy assessment and validation: Comparison of map classifications against independently collected reference samples (photo-interpreted and/or inventory data), including computation of confusion matrices, overall accuracy, producer’s and user’s accuracy, kappa, and F1-score.</w:t>
      </w:r>
    </w:p>
    <w:p w14:paraId="772FDECE">
      <w:pPr>
        <w:pStyle w:val="16"/>
        <w:jc w:val="both"/>
      </w:pPr>
      <w:r>
        <w:t>Generation of maps and summary plots for exploring spatial patterns of forest stability, change, and validation results.</w:t>
      </w:r>
    </w:p>
    <w:p w14:paraId="424A6148">
      <w:pPr>
        <w:pStyle w:val="4"/>
        <w:jc w:val="both"/>
      </w:pPr>
      <w:r>
        <w:t>Indicative Example</w:t>
      </w:r>
    </w:p>
    <w:p w14:paraId="3A82D083">
      <w:pPr>
        <w:jc w:val="both"/>
      </w:pPr>
      <w:r>
        <w:t>The framework can, for example:</w:t>
      </w:r>
    </w:p>
    <w:p w14:paraId="394E71DA">
      <w:pPr>
        <w:pStyle w:val="16"/>
      </w:pPr>
      <w:r>
        <w:t>Quantify forest loss and gain between two selected years within a study basin.</w:t>
      </w:r>
    </w:p>
    <w:p w14:paraId="62DB82B3">
      <w:pPr>
        <w:pStyle w:val="16"/>
      </w:pPr>
      <w:r>
        <w:t>Estimate agreement metrics between ESA CCI and GLC_FCS30 classifications at pixel or aggregated levels.</w:t>
      </w:r>
    </w:p>
    <w:p w14:paraId="1A3205AA">
      <w:pPr>
        <w:pStyle w:val="4"/>
        <w:jc w:val="both"/>
      </w:pPr>
      <w:r>
        <w:t>Summary</w:t>
      </w:r>
    </w:p>
    <w:p w14:paraId="0C100F2C">
      <w:pPr>
        <w:jc w:val="both"/>
      </w:pPr>
      <w:r>
        <w:t>The toolbox will support reproducible accuracy assessment workflows, inter-product comparison (ESA CCI and GLC_FCS30), and temporal consistency analysis using independently collected reference data across selected study areas.</w:t>
      </w:r>
    </w:p>
    <w:p w14:paraId="0199619D">
      <w:pPr>
        <w:jc w:val="both"/>
      </w:pPr>
    </w:p>
    <w:p w14:paraId="33DC55C3">
      <w:pPr>
        <w:jc w:val="both"/>
      </w:pPr>
    </w:p>
    <w:p w14:paraId="455788EF">
      <w:pPr>
        <w:jc w:val="both"/>
      </w:pPr>
    </w:p>
    <w:p w14:paraId="49E1B166">
      <w:pPr>
        <w:jc w:val="both"/>
      </w:pPr>
    </w:p>
    <w:p w14:paraId="04D6A592">
      <w:pPr>
        <w:jc w:val="both"/>
      </w:pPr>
    </w:p>
    <w:p w14:paraId="1DCF07DD">
      <w:pPr>
        <w:jc w:val="both"/>
      </w:pPr>
    </w:p>
    <w:p w14:paraId="5F7C30AE">
      <w:pPr>
        <w:jc w:val="both"/>
      </w:pPr>
    </w:p>
    <w:p w14:paraId="7CE3B700">
      <w:pPr>
        <w:jc w:val="both"/>
      </w:pPr>
    </w:p>
    <w:p w14:paraId="096DA557">
      <w:pPr>
        <w:jc w:val="both"/>
        <w:rPr>
          <w:rFonts w:hint="eastAsia"/>
        </w:rPr>
      </w:pPr>
      <w:r>
        <w:rPr>
          <w:rFonts w:hint="eastAsia"/>
        </w:rPr>
        <w:t># 多时相土地覆盖图的森林覆盖验证框架</w:t>
      </w:r>
    </w:p>
    <w:p w14:paraId="1A7CAC45">
      <w:pPr>
        <w:jc w:val="both"/>
        <w:rPr>
          <w:rFonts w:hint="eastAsia"/>
        </w:rPr>
      </w:pPr>
      <w:r>
        <w:rPr>
          <w:rFonts w:hint="eastAsia"/>
        </w:rPr>
        <w:t>## 概述</w:t>
      </w:r>
    </w:p>
    <w:p w14:paraId="7F7FD5EE">
      <w:pPr>
        <w:jc w:val="both"/>
        <w:rPr>
          <w:rFonts w:hint="eastAsia"/>
        </w:rPr>
      </w:pPr>
      <w:r>
        <w:rPr>
          <w:rFonts w:hint="eastAsia"/>
        </w:rPr>
        <w:t>本文档概述了将在项目工具箱（Python函数库、演示笔记本、测试代码与数据及相关文档）中实现的、用于验证多时相分类森林覆盖图的处理流程。本分析将在选定的研究流域（提供矢量边界）开展，所使用的分类土地覆盖图均为经过图例统一、可直接用于分析的版本。研究重点为利用独立采集的地面真实数据，对森林及相关地类（即耕地、草地、灌丛）进行验证。</w:t>
      </w:r>
    </w:p>
    <w:p w14:paraId="6B2E77A4">
      <w:pPr>
        <w:jc w:val="both"/>
        <w:rPr>
          <w:rFonts w:hint="eastAsia"/>
        </w:rPr>
      </w:pPr>
    </w:p>
    <w:p w14:paraId="66B6D7EE">
      <w:pPr>
        <w:jc w:val="both"/>
        <w:rPr>
          <w:rFonts w:hint="eastAsia"/>
        </w:rPr>
      </w:pPr>
      <w:r>
        <w:rPr>
          <w:rFonts w:hint="eastAsia"/>
        </w:rPr>
        <w:t>## 数据</w:t>
      </w:r>
    </w:p>
    <w:p w14:paraId="0F124E8F">
      <w:pPr>
        <w:jc w:val="both"/>
        <w:rPr>
          <w:rFonts w:hint="eastAsia"/>
        </w:rPr>
      </w:pPr>
      <w:r>
        <w:rPr>
          <w:rFonts w:hint="eastAsia"/>
        </w:rPr>
        <w:t>本研究提供以下可直接用于分析的数据集。所有土地覆盖图均已按相同地理区域（地中海流域）进行裁剪，并基于统一的10类图例（简称MOLCA）完成图例统一：</w:t>
      </w:r>
    </w:p>
    <w:p w14:paraId="3CE4D642">
      <w:pPr>
        <w:jc w:val="both"/>
        <w:rPr>
          <w:rFonts w:hint="eastAsia"/>
        </w:rPr>
      </w:pPr>
      <w:r>
        <w:rPr>
          <w:rFonts w:hint="eastAsia"/>
        </w:rPr>
        <w:t>- 欧洲空间局气候变化倡议300米分辨率土地覆盖数据：https://cds.climate.copernicus.eu/datasets/satellite-land-cover?tab=overview</w:t>
      </w:r>
    </w:p>
    <w:p w14:paraId="22C9D2F9">
      <w:pPr>
        <w:jc w:val="both"/>
        <w:rPr>
          <w:rFonts w:hint="eastAsia"/>
        </w:rPr>
      </w:pPr>
      <w:r>
        <w:rPr>
          <w:rFonts w:hint="eastAsia"/>
        </w:rPr>
        <w:t>- 30米分辨率全球土地覆盖变化数据集GLC_FCS30D：https://zenodo.org/records/8239305</w:t>
      </w:r>
    </w:p>
    <w:p w14:paraId="35BF1891">
      <w:pPr>
        <w:jc w:val="both"/>
        <w:rPr>
          <w:rFonts w:hint="eastAsia"/>
        </w:rPr>
      </w:pPr>
      <w:r>
        <w:rPr>
          <w:rFonts w:hint="eastAsia"/>
        </w:rPr>
        <w:t>- 4个研究流域（分析区域）的矢量边界</w:t>
      </w:r>
    </w:p>
    <w:p w14:paraId="60962DCA">
      <w:pPr>
        <w:jc w:val="both"/>
        <w:rPr>
          <w:rFonts w:hint="eastAsia"/>
        </w:rPr>
      </w:pPr>
    </w:p>
    <w:p w14:paraId="2E56CE8B">
      <w:pPr>
        <w:jc w:val="both"/>
        <w:rPr>
          <w:rFonts w:hint="eastAsia"/>
        </w:rPr>
      </w:pPr>
      <w:r>
        <w:rPr>
          <w:rFonts w:hint="eastAsia"/>
        </w:rPr>
        <w:t>## 处理流程</w:t>
      </w:r>
    </w:p>
    <w:p w14:paraId="6BC5C873">
      <w:pPr>
        <w:jc w:val="both"/>
        <w:rPr>
          <w:rFonts w:hint="eastAsia"/>
        </w:rPr>
      </w:pPr>
      <w:r>
        <w:rPr>
          <w:rFonts w:hint="eastAsia"/>
        </w:rPr>
        <w:t>1. 数据标准化：实现空间网格匹配（对不同研究流域进行裁剪）、时间覆盖范围统一、投影方式对齐（测试数据集已完成图例统一）。</w:t>
      </w:r>
    </w:p>
    <w:p w14:paraId="217AD3F1">
      <w:pPr>
        <w:jc w:val="both"/>
        <w:rPr>
          <w:rFonts w:hint="eastAsia"/>
        </w:rPr>
      </w:pPr>
      <w:r>
        <w:rPr>
          <w:rFonts w:hint="eastAsia"/>
        </w:rPr>
        <w:t>2. 地面真实数据采集（建议使用工具：https://www.openforis.org/collect-earth-tutorials）。（选做步骤，若指导教师提供相关数据，可将森林资源清查数据纳入验证数据集以扩充数据量）</w:t>
      </w:r>
    </w:p>
    <w:p w14:paraId="6BD825E2">
      <w:pPr>
        <w:jc w:val="both"/>
        <w:rPr>
          <w:rFonts w:hint="eastAsia"/>
        </w:rPr>
      </w:pPr>
      <w:r>
        <w:rPr>
          <w:rFonts w:hint="eastAsia"/>
        </w:rPr>
        <w:t>3. 精度评估与验证：将地图分类结果与独立采集的参考样本（解译影像数据和/或资源清查数据）进行对比分析，包括计算混淆矩阵、总体精度、生产者精度、用户精度、卡帕系数及F1分数。</w:t>
      </w:r>
    </w:p>
    <w:p w14:paraId="64FA433F">
      <w:pPr>
        <w:jc w:val="both"/>
        <w:rPr>
          <w:rFonts w:hint="eastAsia"/>
        </w:rPr>
      </w:pPr>
      <w:r>
        <w:rPr>
          <w:rFonts w:hint="eastAsia"/>
        </w:rPr>
        <w:t>4. 制作专题图与汇总图表，探究森林稳定性、森林覆被变化及验证结果的空间分布格局。</w:t>
      </w:r>
    </w:p>
    <w:p w14:paraId="70072F67">
      <w:pPr>
        <w:jc w:val="both"/>
        <w:rPr>
          <w:rFonts w:hint="eastAsia"/>
        </w:rPr>
      </w:pPr>
    </w:p>
    <w:p w14:paraId="04B39E40">
      <w:pPr>
        <w:jc w:val="both"/>
        <w:rPr>
          <w:rFonts w:hint="eastAsia"/>
        </w:rPr>
      </w:pPr>
      <w:r>
        <w:rPr>
          <w:rFonts w:hint="eastAsia"/>
        </w:rPr>
        <w:t>## 应用示例</w:t>
      </w:r>
    </w:p>
    <w:p w14:paraId="0FA27576">
      <w:pPr>
        <w:jc w:val="both"/>
        <w:rPr>
          <w:rFonts w:hint="eastAsia"/>
        </w:rPr>
      </w:pPr>
      <w:r>
        <w:rPr>
          <w:rFonts w:hint="eastAsia"/>
        </w:rPr>
        <w:t>本框架可实现以下分析应用，例如：</w:t>
      </w:r>
    </w:p>
    <w:p w14:paraId="23891C33">
      <w:pPr>
        <w:jc w:val="both"/>
        <w:rPr>
          <w:rFonts w:hint="eastAsia"/>
        </w:rPr>
      </w:pPr>
      <w:r>
        <w:rPr>
          <w:rFonts w:hint="eastAsia"/>
        </w:rPr>
        <w:t>- 量化某一研究流域内选定两个年份间的森林流失与新增面积。</w:t>
      </w:r>
    </w:p>
    <w:p w14:paraId="534FC13D">
      <w:pPr>
        <w:jc w:val="both"/>
        <w:rPr>
          <w:rFonts w:hint="eastAsia"/>
        </w:rPr>
      </w:pPr>
      <w:r>
        <w:rPr>
          <w:rFonts w:hint="eastAsia"/>
        </w:rPr>
        <w:t>- 在像元尺度或聚合尺度下，计算欧洲空间局气候变化倡议土地覆盖数据与GLC_FCS30D数据分类结果的一致性指标。</w:t>
      </w:r>
    </w:p>
    <w:p w14:paraId="660D5D9E">
      <w:pPr>
        <w:jc w:val="both"/>
        <w:rPr>
          <w:rFonts w:hint="eastAsia"/>
        </w:rPr>
      </w:pPr>
    </w:p>
    <w:p w14:paraId="66027E5B">
      <w:pPr>
        <w:jc w:val="both"/>
        <w:rPr>
          <w:rFonts w:hint="eastAsia"/>
        </w:rPr>
      </w:pPr>
      <w:r>
        <w:rPr>
          <w:rFonts w:hint="eastAsia"/>
        </w:rPr>
        <w:t>## 总结</w:t>
      </w:r>
    </w:p>
    <w:p w14:paraId="4261CA79">
      <w:pPr>
        <w:jc w:val="both"/>
        <w:rPr>
          <w:rFonts w:hint="eastAsia"/>
        </w:rPr>
      </w:pPr>
      <w:r>
        <w:rPr>
          <w:rFonts w:hint="eastAsia"/>
        </w:rPr>
        <w:t>该工具箱将依托选定研究区域的独立参考数据，为可复现的精度评估流程、多产品对比分析（欧洲空间局气候变化倡议数据与GLC_FCS30D数据）及时间一致性分析提供技术支持。</w:t>
      </w:r>
    </w:p>
    <w:p w14:paraId="1DAB2F4B">
      <w:pPr>
        <w:jc w:val="both"/>
        <w:rPr>
          <w:rFonts w:hint="eastAsia"/>
        </w:rPr>
      </w:pPr>
    </w:p>
    <w:p w14:paraId="6996ED2E">
      <w:pPr>
        <w:jc w:val="both"/>
        <w:rPr>
          <w:rFonts w:hint="eastAsia"/>
        </w:rPr>
      </w:pPr>
      <w:r>
        <w:rPr>
          <w:rFonts w:hint="eastAsia"/>
        </w:rPr>
        <w:t>### 术语注解</w:t>
      </w:r>
    </w:p>
    <w:p w14:paraId="67A03E66">
      <w:pPr>
        <w:jc w:val="both"/>
        <w:rPr>
          <w:rFonts w:hint="eastAsia"/>
        </w:rPr>
      </w:pPr>
      <w:r>
        <w:rPr>
          <w:rFonts w:hint="eastAsia"/>
        </w:rPr>
        <w:t>1. Ground-truth data：地面真实数据，指通过实地调查、高精度影像解译等方式获取的、用于验证遥感分类结果的真实地类数据</w:t>
      </w:r>
    </w:p>
    <w:p w14:paraId="310B4587">
      <w:pPr>
        <w:jc w:val="both"/>
        <w:rPr>
          <w:rFonts w:hint="eastAsia"/>
        </w:rPr>
      </w:pPr>
      <w:r>
        <w:rPr>
          <w:rFonts w:hint="eastAsia"/>
        </w:rPr>
        <w:t>2. Confusion matrix：混淆矩阵，用于评估分类模型精度的矩阵，展示真实类别与预测类别的匹配情况</w:t>
      </w:r>
    </w:p>
    <w:p w14:paraId="3B9AB302">
      <w:pPr>
        <w:jc w:val="both"/>
        <w:rPr>
          <w:rFonts w:hint="eastAsia"/>
        </w:rPr>
      </w:pPr>
      <w:r>
        <w:rPr>
          <w:rFonts w:hint="eastAsia"/>
        </w:rPr>
        <w:t>3. Producer’s accuracy：生产者精度，反映遥感分类中某一类地物被正确分类的比例，代表数据生产者视角的分类精度</w:t>
      </w:r>
    </w:p>
    <w:p w14:paraId="58ECDC96">
      <w:pPr>
        <w:jc w:val="both"/>
        <w:rPr>
          <w:rFonts w:hint="eastAsia"/>
        </w:rPr>
      </w:pPr>
      <w:r>
        <w:rPr>
          <w:rFonts w:hint="eastAsia"/>
        </w:rPr>
        <w:t>4. User’s accuracy：用户精度，反映遥感分类结果中某一类别为真实地类的比例，代表数据使用者视角的分类精度</w:t>
      </w:r>
    </w:p>
    <w:p w14:paraId="6F8A8508">
      <w:pPr>
        <w:jc w:val="both"/>
        <w:rPr>
          <w:rFonts w:hint="eastAsia"/>
        </w:rPr>
      </w:pPr>
      <w:r>
        <w:rPr>
          <w:rFonts w:hint="eastAsia"/>
        </w:rPr>
        <w:t>5. Kappa：卡帕系数，用于衡量分类结果与真实情况的一致性程度，消除随机分类的影响</w:t>
      </w:r>
    </w:p>
    <w:p w14:paraId="10596875">
      <w:pPr>
        <w:jc w:val="both"/>
      </w:pPr>
      <w:r>
        <w:rPr>
          <w:rFonts w:hint="eastAsia"/>
        </w:rPr>
        <w:t>6. F1-score：F1分数，是精确率和召回率的调和平均数，综合评估分类模型的性能</w:t>
      </w:r>
    </w:p>
    <w:p w14:paraId="0060A6EA">
      <w:pPr>
        <w:jc w:val="both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0"/>
  <w:bordersDoNotSurroundFooter w:val="0"/>
  <w:documentProtection w:enforcement="0"/>
  <w:defaultTabStop w:val="720"/>
  <w:hyphenationZone w:val="28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4NGUxNGM4NjYzN2Q3NDZmOWUwNzJiYzJlMjU5ZDYifQ=="/>
  </w:docVars>
  <w:rsids>
    <w:rsidRoot w:val="00B47730"/>
    <w:rsid w:val="000273E2"/>
    <w:rsid w:val="00034616"/>
    <w:rsid w:val="000406B9"/>
    <w:rsid w:val="0006063C"/>
    <w:rsid w:val="0015074B"/>
    <w:rsid w:val="001521FB"/>
    <w:rsid w:val="001D0C50"/>
    <w:rsid w:val="001F120C"/>
    <w:rsid w:val="00215202"/>
    <w:rsid w:val="0029639D"/>
    <w:rsid w:val="00326F90"/>
    <w:rsid w:val="00401381"/>
    <w:rsid w:val="00407D30"/>
    <w:rsid w:val="00440E66"/>
    <w:rsid w:val="00466803"/>
    <w:rsid w:val="00576EFD"/>
    <w:rsid w:val="00631319"/>
    <w:rsid w:val="006D61B3"/>
    <w:rsid w:val="006F68D0"/>
    <w:rsid w:val="008E7CDE"/>
    <w:rsid w:val="00945CC8"/>
    <w:rsid w:val="0098188E"/>
    <w:rsid w:val="00A1465E"/>
    <w:rsid w:val="00AA1D8D"/>
    <w:rsid w:val="00AA6FFD"/>
    <w:rsid w:val="00B47730"/>
    <w:rsid w:val="00B847D9"/>
    <w:rsid w:val="00C47DE8"/>
    <w:rsid w:val="00C54FB0"/>
    <w:rsid w:val="00C60E01"/>
    <w:rsid w:val="00C83A3C"/>
    <w:rsid w:val="00CB0664"/>
    <w:rsid w:val="00CC44E9"/>
    <w:rsid w:val="00D30FCA"/>
    <w:rsid w:val="00D418F6"/>
    <w:rsid w:val="00D55593"/>
    <w:rsid w:val="00D90E0C"/>
    <w:rsid w:val="00DE2636"/>
    <w:rsid w:val="00E038A4"/>
    <w:rsid w:val="00ED73BF"/>
    <w:rsid w:val="00F8315D"/>
    <w:rsid w:val="00FC693F"/>
    <w:rsid w:val="97FBB9F1"/>
    <w:rsid w:val="EFDD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7">
    <w:name w:val="Intestazione Carattere"/>
    <w:basedOn w:val="132"/>
    <w:link w:val="25"/>
    <w:uiPriority w:val="99"/>
  </w:style>
  <w:style w:type="character" w:customStyle="1" w:styleId="138">
    <w:name w:val="Piè di pagina Carattere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Titolo 1 Carattere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Titolo 2 Carattere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Titolo 3 Carattere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olo Carattere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ottotitolo Carattere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Corpo testo Carattere"/>
    <w:basedOn w:val="132"/>
    <w:link w:val="19"/>
    <w:uiPriority w:val="99"/>
  </w:style>
  <w:style w:type="character" w:customStyle="1" w:styleId="147">
    <w:name w:val="Corpo del testo 2 Carattere"/>
    <w:basedOn w:val="132"/>
    <w:link w:val="28"/>
    <w:uiPriority w:val="99"/>
  </w:style>
  <w:style w:type="character" w:customStyle="1" w:styleId="148">
    <w:name w:val="Corpo del testo 3 Carattere"/>
    <w:basedOn w:val="132"/>
    <w:link w:val="17"/>
    <w:uiPriority w:val="99"/>
    <w:rPr>
      <w:sz w:val="16"/>
      <w:szCs w:val="16"/>
    </w:rPr>
  </w:style>
  <w:style w:type="character" w:customStyle="1" w:styleId="149">
    <w:name w:val="Testo macro Carattere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Citazione Carattere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Titolo 4 Carattere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Titolo 5 Carattere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Titolo 6 Carattere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Titolo 7 Carattere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Titolo 8 Carattere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Titolo 9 Carattere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Citazione intensa Carattere"/>
    <w:basedOn w:val="132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6">
    <w:name w:val="Unresolved Mention"/>
    <w:basedOn w:val="13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376</Words>
  <Characters>2144</Characters>
  <Lines>17</Lines>
  <Paragraphs>5</Paragraphs>
  <TotalTime>81</TotalTime>
  <ScaleCrop>false</ScaleCrop>
  <LinksUpToDate>false</LinksUpToDate>
  <CharactersWithSpaces>2515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暗夜</cp:lastModifiedBy>
  <dcterms:modified xsi:type="dcterms:W3CDTF">2026-04-01T12:04:08Z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baec6d05-5531-487c-b696-ef2e86ca9785</vt:lpwstr>
  </property>
  <property fmtid="{D5CDD505-2E9C-101B-9397-08002B2CF9AE}" pid="3" name="KSOProductBuildVer">
    <vt:lpwstr>2052-6.12.1.8902</vt:lpwstr>
  </property>
  <property fmtid="{D5CDD505-2E9C-101B-9397-08002B2CF9AE}" pid="4" name="ICV">
    <vt:lpwstr>B02C7C586B2F9D885A63CA691827A401_42</vt:lpwstr>
  </property>
</Properties>
</file>