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/v1/monitor/unit/&lt;unit_id&gt;/table_</w:t>
            </w:r>
            <w:r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"unit":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lastRenderedPageBreak/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"unit":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FB6D55"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FB6D55">
        <w:trPr>
          <w:trHeight w:val="115"/>
        </w:trPr>
        <w:tc>
          <w:tcPr>
            <w:tcW w:w="14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FB6D55">
        <w:trPr>
          <w:trHeight w:val="112"/>
        </w:trPr>
        <w:tc>
          <w:tcPr>
            <w:tcW w:w="14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FB6D55">
        <w:trPr>
          <w:trHeight w:val="112"/>
        </w:trPr>
        <w:tc>
          <w:tcPr>
            <w:tcW w:w="14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FB6D55">
        <w:trPr>
          <w:trHeight w:val="112"/>
        </w:trPr>
        <w:tc>
          <w:tcPr>
            <w:tcW w:w="14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FB6D55">
        <w:trPr>
          <w:trHeight w:val="112"/>
        </w:trPr>
        <w:tc>
          <w:tcPr>
            <w:tcW w:w="14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FB6D55">
        <w:tc>
          <w:tcPr>
            <w:tcW w:w="1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D55" w:rsidRDefault="002B37DA" w:rsidP="000428DB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2B37DA" w:rsidTr="002B37DA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2B37D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2B37DA" w:rsidTr="002B37DA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2B37DA" w:rsidTr="002B37DA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2"/>
        <w:gridCol w:w="1434"/>
        <w:gridCol w:w="3092"/>
        <w:gridCol w:w="964"/>
        <w:gridCol w:w="133"/>
        <w:gridCol w:w="1391"/>
      </w:tblGrid>
      <w:tr w:rsidR="001238A2" w:rsidTr="001238A2"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upsqld_process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守护进程状态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daemon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守护进程状态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upsqld_process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"daemon</w:t>
            </w:r>
            <w:r w:rsidRPr="00AB4D25">
              <w:rPr>
                <w:rFonts w:cs="微软雅黑"/>
                <w:sz w:val="20"/>
                <w:szCs w:val="24"/>
              </w:rPr>
              <w:t>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“passing”</w:t>
            </w:r>
          </w:p>
          <w:p w:rsidR="001238A2" w:rsidRDefault="001238A2" w:rsidP="001238A2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14490613</w:t>
            </w:r>
            <w:r w:rsidRPr="00AB4D25">
              <w:rPr>
                <w:rFonts w:cs="微软雅黑"/>
                <w:sz w:val="20"/>
                <w:szCs w:val="24"/>
              </w:rPr>
              <w:t>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1238A2"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lastRenderedPageBreak/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</w:t>
            </w:r>
            <w:r>
              <w:rPr>
                <w:rFonts w:cs="微软雅黑"/>
                <w:sz w:val="24"/>
                <w:szCs w:val="24"/>
              </w:rPr>
              <w:lastRenderedPageBreak/>
              <w:t>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</w:t>
            </w:r>
            <w:r>
              <w:rPr>
                <w:rFonts w:cs="微软雅黑"/>
                <w:sz w:val="24"/>
                <w:szCs w:val="24"/>
              </w:rPr>
              <w:lastRenderedPageBreak/>
              <w:t>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egistory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registory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EE658B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EE658B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EE658B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registory</w:t>
            </w:r>
          </w:p>
          <w:p w:rsidR="00C44765" w:rsidRPr="00C44765" w:rsidRDefault="00EE658B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>
              <w:rPr>
                <w:rFonts w:cs="微软雅黑" w:hint="eastAsia"/>
                <w:b/>
                <w:sz w:val="20"/>
                <w:szCs w:val="24"/>
              </w:rPr>
              <w:t>egistory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registory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</w:t>
            </w: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version 1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</w:t>
            </w:r>
            <w:r>
              <w:rPr>
                <w:rFonts w:cs="微软雅黑"/>
                <w:sz w:val="24"/>
                <w:szCs w:val="24"/>
              </w:rPr>
              <w:lastRenderedPageBreak/>
              <w:t>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  <w:rPr>
                <w:rFonts w:hint="eastAsia"/>
              </w:rPr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  <w:rPr>
                <w:rFonts w:hint="eastAsia"/>
              </w:rPr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事件创建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lastRenderedPageBreak/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  <w:rPr>
                <w:rFonts w:hint="eastAsia"/>
              </w:rPr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  <w:rPr>
                <w:rFonts w:hint="eastAsia"/>
              </w:rPr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  <w:rPr>
                <w:rFonts w:hint="eastAsia"/>
              </w:rPr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</w:t>
            </w:r>
            <w:r w:rsidR="009E77BA">
              <w:rPr>
                <w:rFonts w:cs="微软雅黑"/>
                <w:sz w:val="20"/>
                <w:szCs w:val="24"/>
              </w:rPr>
              <w:t>eventid</w:t>
            </w:r>
            <w:r w:rsidR="009E77B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</w:t>
            </w:r>
            <w:r w:rsidR="009E77BA">
              <w:rPr>
                <w:rFonts w:cs="微软雅黑"/>
                <w:sz w:val="20"/>
                <w:szCs w:val="24"/>
              </w:rPr>
              <w:t>endPoint</w:t>
            </w:r>
            <w:r w:rsidR="009E77BA">
              <w:rPr>
                <w:rFonts w:cs="微软雅黑"/>
                <w:sz w:val="20"/>
                <w:szCs w:val="24"/>
              </w:rPr>
              <w:t xml:space="preserve">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</w:t>
            </w:r>
            <w:r w:rsidR="00D222FD">
              <w:rPr>
                <w:rFonts w:cs="微软雅黑"/>
                <w:sz w:val="20"/>
                <w:szCs w:val="24"/>
              </w:rPr>
              <w:t>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</w:t>
            </w:r>
            <w:r>
              <w:rPr>
                <w:rFonts w:cs="微软雅黑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_usage”,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>
              <w:rPr>
                <w:rFonts w:cs="微软雅黑"/>
                <w:sz w:val="20"/>
                <w:szCs w:val="24"/>
              </w:rPr>
              <w:t>98</w:t>
            </w:r>
            <w:r>
              <w:rPr>
                <w:rFonts w:cs="微软雅黑"/>
                <w:sz w:val="20"/>
                <w:szCs w:val="24"/>
              </w:rPr>
              <w:t>“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EE658B" w:rsidP="00D222FD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</w:t>
            </w:r>
            <w:r>
              <w:rPr>
                <w:rFonts w:cs="微软雅黑"/>
                <w:sz w:val="20"/>
                <w:szCs w:val="24"/>
              </w:rPr>
              <w:t>": gitu5</w:t>
            </w:r>
            <w:r>
              <w:rPr>
                <w:rFonts w:cs="微软雅黑"/>
                <w:sz w:val="20"/>
                <w:szCs w:val="24"/>
              </w:rPr>
              <w:t>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bookmarkStart w:id="0" w:name="_GoBack"/>
            <w:bookmarkEnd w:id="0"/>
            <w:r>
              <w:rPr>
                <w:rFonts w:cs="微软雅黑"/>
                <w:sz w:val="20"/>
                <w:szCs w:val="24"/>
              </w:rPr>
              <w:t>“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Pr="00EE658B" w:rsidRDefault="00EE658B" w:rsidP="00EE658B">
      <w:pPr>
        <w:rPr>
          <w:rFonts w:hint="eastAsia"/>
        </w:rPr>
      </w:pPr>
    </w:p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</w:t>
            </w:r>
            <w:r>
              <w:rPr>
                <w:rFonts w:cs="微软雅黑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</w:t>
            </w:r>
            <w:r>
              <w:rPr>
                <w:rFonts w:cs="微软雅黑"/>
                <w:b/>
                <w:sz w:val="20"/>
                <w:szCs w:val="24"/>
              </w:rPr>
              <w:lastRenderedPageBreak/>
              <w:t>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lastRenderedPageBreak/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Pr="00F37C0F" w:rsidRDefault="00F37C0F" w:rsidP="00F37C0F"/>
    <w:sectPr w:rsidR="00F37C0F" w:rsidRPr="00F3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9D" w:rsidRDefault="00DA599D" w:rsidP="0058512A">
      <w:r>
        <w:separator/>
      </w:r>
    </w:p>
  </w:endnote>
  <w:endnote w:type="continuationSeparator" w:id="0">
    <w:p w:rsidR="00DA599D" w:rsidRDefault="00DA599D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9D" w:rsidRDefault="00DA599D" w:rsidP="0058512A">
      <w:r>
        <w:separator/>
      </w:r>
    </w:p>
  </w:footnote>
  <w:footnote w:type="continuationSeparator" w:id="0">
    <w:p w:rsidR="00DA599D" w:rsidRDefault="00DA599D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35F31"/>
    <w:rsid w:val="002B37DA"/>
    <w:rsid w:val="002C54D6"/>
    <w:rsid w:val="002F5BA6"/>
    <w:rsid w:val="003518EF"/>
    <w:rsid w:val="003D509C"/>
    <w:rsid w:val="003F4B7F"/>
    <w:rsid w:val="004A09D2"/>
    <w:rsid w:val="004F3374"/>
    <w:rsid w:val="005775F7"/>
    <w:rsid w:val="0058512A"/>
    <w:rsid w:val="005934E6"/>
    <w:rsid w:val="005B58AF"/>
    <w:rsid w:val="00612E8A"/>
    <w:rsid w:val="00627659"/>
    <w:rsid w:val="00630A8C"/>
    <w:rsid w:val="006433FF"/>
    <w:rsid w:val="006B0470"/>
    <w:rsid w:val="006F3032"/>
    <w:rsid w:val="00712D80"/>
    <w:rsid w:val="007265A4"/>
    <w:rsid w:val="007276C9"/>
    <w:rsid w:val="0074578E"/>
    <w:rsid w:val="0074772F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9E77BA"/>
    <w:rsid w:val="00A431C8"/>
    <w:rsid w:val="00A44C9A"/>
    <w:rsid w:val="00A867A7"/>
    <w:rsid w:val="00A905C0"/>
    <w:rsid w:val="00AA177A"/>
    <w:rsid w:val="00AA25E7"/>
    <w:rsid w:val="00AD42F4"/>
    <w:rsid w:val="00AE27F0"/>
    <w:rsid w:val="00AF1A1D"/>
    <w:rsid w:val="00AF56C1"/>
    <w:rsid w:val="00AF6B87"/>
    <w:rsid w:val="00B57FEB"/>
    <w:rsid w:val="00B708BC"/>
    <w:rsid w:val="00B85C34"/>
    <w:rsid w:val="00B9239E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D071D0"/>
    <w:rsid w:val="00D222FD"/>
    <w:rsid w:val="00D35EBC"/>
    <w:rsid w:val="00D360AF"/>
    <w:rsid w:val="00D72FB3"/>
    <w:rsid w:val="00DA599D"/>
    <w:rsid w:val="00DD7661"/>
    <w:rsid w:val="00DF29E4"/>
    <w:rsid w:val="00DF2F38"/>
    <w:rsid w:val="00E13F7C"/>
    <w:rsid w:val="00E43986"/>
    <w:rsid w:val="00E55081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99</Pages>
  <Words>5784</Words>
  <Characters>32970</Characters>
  <Application>Microsoft Office Word</Application>
  <DocSecurity>0</DocSecurity>
  <Lines>274</Lines>
  <Paragraphs>77</Paragraphs>
  <ScaleCrop>false</ScaleCrop>
  <Company/>
  <LinksUpToDate>false</LinksUpToDate>
  <CharactersWithSpaces>38677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79</cp:revision>
  <dcterms:created xsi:type="dcterms:W3CDTF">2016-04-18T07:36:00Z</dcterms:created>
  <dcterms:modified xsi:type="dcterms:W3CDTF">2016-06-12T10:42:00Z</dcterms:modified>
</cp:coreProperties>
</file>