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C8371"/>
          <w:sz w:val="22"/>
        </w:rPr>
        <w:t>SAUDI ARABIA · 2010–2025</w:t>
      </w:r>
    </w:p>
    <w:p>
      <w:pPr>
        <w:pStyle w:val="Title"/>
      </w:pPr>
      <w:r>
        <w:rPr>
          <w:rFonts w:ascii="Georgia" w:hAnsi="Georgia"/>
          <w:color w:val="211C15"/>
          <w:sz w:val="56"/>
        </w:rPr>
        <w:t>Population, Faith &amp; the Post-Oil Economy</w:t>
      </w:r>
    </w:p>
    <w:p>
      <w:r>
        <w:rPr>
          <w:i/>
          <w:color w:val="5B5346"/>
          <w:sz w:val="24"/>
        </w:rPr>
        <w:t>The Kingdom's population grew 47% in fourteen years, driven mostly by foreign labor migration that rises and falls with domestic labor policy — while the economy has begun, measurably, to grow around oil rather than because of it.</w:t>
      </w:r>
    </w:p>
    <w:p>
      <w:r>
        <w:rPr>
          <w:sz w:val="18"/>
        </w:rPr>
        <w:t>Compiled July 2026</w:t>
      </w:r>
    </w:p>
    <w:p/>
    <w:tbl>
      <w:tblPr>
        <w:tblStyle w:val="LightGrid-Accent1"/>
        <w:tblW w:type="auto" w:w="0"/>
        <w:jc w:val="left"/>
        <w:tblLook w:firstColumn="1" w:firstRow="1" w:lastColumn="0" w:lastRow="0" w:noHBand="0" w:noVBand="1" w:val="04A0"/>
      </w:tblPr>
      <w:tblGrid>
        <w:gridCol w:w="3249"/>
        <w:gridCol w:w="3249"/>
        <w:gridCol w:w="3249"/>
      </w:tblGrid>
      <w:tr>
        <w:tc>
          <w:tcPr>
            <w:tcW w:type="dxa" w:w="3744"/>
            <w:shd w:fill="211C15"/>
          </w:tcPr>
          <w:p>
            <w:r>
              <w:rPr>
                <w:b/>
                <w:color w:val="FFFFFF"/>
                <w:sz w:val="19"/>
              </w:rPr>
              <w:t>Metric</w:t>
            </w:r>
          </w:p>
        </w:tc>
        <w:tc>
          <w:tcPr>
            <w:tcW w:type="dxa" w:w="2304"/>
            <w:shd w:fill="211C15"/>
          </w:tcPr>
          <w:p>
            <w:r>
              <w:rPr>
                <w:b/>
                <w:color w:val="FFFFFF"/>
                <w:sz w:val="19"/>
              </w:rPr>
              <w:t>Value</w:t>
            </w:r>
          </w:p>
        </w:tc>
        <w:tc>
          <w:tcPr>
            <w:tcW w:type="dxa" w:w="4032"/>
            <w:shd w:fill="211C15"/>
          </w:tcPr>
          <w:p>
            <w:r>
              <w:rPr>
                <w:b/>
                <w:color w:val="FFFFFF"/>
                <w:sz w:val="19"/>
              </w:rPr>
              <w:t>Change</w:t>
            </w:r>
          </w:p>
        </w:tc>
      </w:tr>
      <w:tr>
        <w:tc>
          <w:tcPr>
            <w:tcW w:type="dxa" w:w="3744"/>
          </w:tcPr>
          <w:p>
            <w:pPr>
              <w:jc w:val="left"/>
            </w:pPr>
            <w:r>
              <w:rPr>
                <w:color w:val="211C15"/>
                <w:sz w:val="19"/>
              </w:rPr>
              <w:t>Population, 2024</w:t>
            </w:r>
          </w:p>
        </w:tc>
        <w:tc>
          <w:tcPr>
            <w:tcW w:type="dxa" w:w="2304"/>
          </w:tcPr>
          <w:p>
            <w:pPr>
              <w:jc w:val="right"/>
            </w:pPr>
            <w:r>
              <w:rPr>
                <w:color w:val="211C15"/>
                <w:sz w:val="19"/>
              </w:rPr>
              <w:t>35.30M</w:t>
            </w:r>
          </w:p>
        </w:tc>
        <w:tc>
          <w:tcPr>
            <w:tcW w:type="dxa" w:w="4032"/>
          </w:tcPr>
          <w:p>
            <w:pPr>
              <w:jc w:val="right"/>
            </w:pPr>
            <w:r>
              <w:rPr>
                <w:color w:val="211C15"/>
                <w:sz w:val="19"/>
              </w:rPr>
              <w:t>+47.2% since 2010</w:t>
            </w:r>
          </w:p>
        </w:tc>
      </w:tr>
      <w:tr>
        <w:tc>
          <w:tcPr>
            <w:tcW w:type="dxa" w:w="3744"/>
          </w:tcPr>
          <w:p>
            <w:pPr>
              <w:jc w:val="left"/>
            </w:pPr>
            <w:r>
              <w:rPr>
                <w:color w:val="211C15"/>
                <w:sz w:val="19"/>
              </w:rPr>
              <w:t>Non-Saudi share, 2024</w:t>
            </w:r>
          </w:p>
        </w:tc>
        <w:tc>
          <w:tcPr>
            <w:tcW w:type="dxa" w:w="2304"/>
          </w:tcPr>
          <w:p>
            <w:pPr>
              <w:jc w:val="right"/>
            </w:pPr>
            <w:r>
              <w:rPr>
                <w:color w:val="211C15"/>
                <w:sz w:val="19"/>
              </w:rPr>
              <w:t>44.4%</w:t>
            </w:r>
          </w:p>
        </w:tc>
        <w:tc>
          <w:tcPr>
            <w:tcW w:type="dxa" w:w="4032"/>
          </w:tcPr>
          <w:p>
            <w:pPr>
              <w:jc w:val="right"/>
            </w:pPr>
            <w:r>
              <w:rPr>
                <w:color w:val="211C15"/>
                <w:sz w:val="19"/>
              </w:rPr>
              <w:t>up from 41.4% in 2010</w:t>
            </w:r>
          </w:p>
        </w:tc>
      </w:tr>
      <w:tr>
        <w:tc>
          <w:tcPr>
            <w:tcW w:type="dxa" w:w="3744"/>
          </w:tcPr>
          <w:p>
            <w:pPr>
              <w:jc w:val="left"/>
            </w:pPr>
            <w:r>
              <w:rPr>
                <w:color w:val="211C15"/>
                <w:sz w:val="19"/>
              </w:rPr>
              <w:t>Riyadh (city, 2022 census)</w:t>
            </w:r>
          </w:p>
        </w:tc>
        <w:tc>
          <w:tcPr>
            <w:tcW w:type="dxa" w:w="2304"/>
          </w:tcPr>
          <w:p>
            <w:pPr>
              <w:jc w:val="right"/>
            </w:pPr>
            <w:r>
              <w:rPr>
                <w:color w:val="211C15"/>
                <w:sz w:val="19"/>
              </w:rPr>
              <w:t>6.92M</w:t>
            </w:r>
          </w:p>
        </w:tc>
        <w:tc>
          <w:tcPr>
            <w:tcW w:type="dxa" w:w="4032"/>
          </w:tcPr>
          <w:p>
            <w:pPr>
              <w:jc w:val="right"/>
            </w:pPr>
            <w:r>
              <w:rPr>
                <w:color w:val="211C15"/>
                <w:sz w:val="19"/>
              </w:rPr>
              <w:t>+33.5% since 2010</w:t>
            </w:r>
          </w:p>
        </w:tc>
      </w:tr>
      <w:tr>
        <w:tc>
          <w:tcPr>
            <w:tcW w:type="dxa" w:w="3744"/>
          </w:tcPr>
          <w:p>
            <w:pPr>
              <w:jc w:val="left"/>
            </w:pPr>
            <w:r>
              <w:rPr>
                <w:color w:val="211C15"/>
                <w:sz w:val="19"/>
              </w:rPr>
              <w:t>Non-oil share of GDP</w:t>
            </w:r>
          </w:p>
        </w:tc>
        <w:tc>
          <w:tcPr>
            <w:tcW w:type="dxa" w:w="2304"/>
          </w:tcPr>
          <w:p>
            <w:pPr>
              <w:jc w:val="right"/>
            </w:pPr>
            <w:r>
              <w:rPr>
                <w:color w:val="211C15"/>
                <w:sz w:val="19"/>
              </w:rPr>
              <w:t>~54%</w:t>
            </w:r>
          </w:p>
        </w:tc>
        <w:tc>
          <w:tcPr>
            <w:tcW w:type="dxa" w:w="4032"/>
          </w:tcPr>
          <w:p>
            <w:pPr>
              <w:jc w:val="right"/>
            </w:pPr>
            <w:r>
              <w:rPr>
                <w:color w:val="211C15"/>
                <w:sz w:val="19"/>
              </w:rPr>
              <w:t>record high, per GASTAT</w:t>
            </w:r>
          </w:p>
        </w:tc>
      </w:tr>
      <w:tr>
        <w:tc>
          <w:tcPr>
            <w:tcW w:type="dxa" w:w="3744"/>
          </w:tcPr>
          <w:p>
            <w:pPr>
              <w:jc w:val="left"/>
            </w:pPr>
            <w:r>
              <w:rPr>
                <w:color w:val="211C15"/>
                <w:sz w:val="19"/>
              </w:rPr>
              <w:t>Real GDP growth, 2025</w:t>
            </w:r>
          </w:p>
        </w:tc>
        <w:tc>
          <w:tcPr>
            <w:tcW w:type="dxa" w:w="2304"/>
          </w:tcPr>
          <w:p>
            <w:pPr>
              <w:jc w:val="right"/>
            </w:pPr>
            <w:r>
              <w:rPr>
                <w:color w:val="211C15"/>
                <w:sz w:val="19"/>
              </w:rPr>
              <w:t>+4.5%</w:t>
            </w:r>
          </w:p>
        </w:tc>
        <w:tc>
          <w:tcPr>
            <w:tcW w:type="dxa" w:w="4032"/>
          </w:tcPr>
          <w:p>
            <w:pPr>
              <w:jc w:val="right"/>
            </w:pPr>
            <w:r>
              <w:rPr>
                <w:color w:val="211C15"/>
                <w:sz w:val="19"/>
              </w:rPr>
              <w:t>accelerating from +2.7% in 2024</w:t>
            </w:r>
          </w:p>
        </w:tc>
      </w:tr>
    </w:tbl>
    <w:p>
      <w:r>
        <w:br w:type="page"/>
      </w:r>
    </w:p>
    <w:p>
      <w:pPr>
        <w:pStyle w:val="Heading1"/>
      </w:pPr>
      <w:r>
        <w:t>01 — Population</w:t>
      </w:r>
    </w:p>
    <w:p>
      <w:r>
        <w:t>Mid-year population by nationality, 2010–2024. The 2016–2019 dip is almost entirely non-Saudi: Nitaqat “Saudization” quotas and a new expatriate dependent levy pushed foreign residents to leave faster than new ones arrived. GASTAT had not yet published a mid-2025 estimate at time of writing.</w:t>
      </w:r>
    </w:p>
    <w:p>
      <w:r>
        <w:drawing>
          <wp:inline xmlns:a="http://schemas.openxmlformats.org/drawingml/2006/main" xmlns:pic="http://schemas.openxmlformats.org/drawingml/2006/picture">
            <wp:extent cx="5760720" cy="2478449"/>
            <wp:docPr id="1" name="Picture 1"/>
            <wp:cNvGraphicFramePr>
              <a:graphicFrameLocks noChangeAspect="1"/>
            </wp:cNvGraphicFramePr>
            <a:graphic>
              <a:graphicData uri="http://schemas.openxmlformats.org/drawingml/2006/picture">
                <pic:pic>
                  <pic:nvPicPr>
                    <pic:cNvPr id="0" name="pop_chart.png"/>
                    <pic:cNvPicPr/>
                  </pic:nvPicPr>
                  <pic:blipFill>
                    <a:blip r:embed="rId9"/>
                    <a:stretch>
                      <a:fillRect/>
                    </a:stretch>
                  </pic:blipFill>
                  <pic:spPr>
                    <a:xfrm>
                      <a:off x="0" y="0"/>
                      <a:ext cx="5760720" cy="2478449"/>
                    </a:xfrm>
                    <a:prstGeom prst="rect"/>
                  </pic:spPr>
                </pic:pic>
              </a:graphicData>
            </a:graphic>
          </wp:inline>
        </w:drawing>
      </w:r>
    </w:p>
    <w:p>
      <w:r>
        <w:rPr>
          <w:i/>
          <w:color w:val="8C8371"/>
          <w:sz w:val="19"/>
        </w:rPr>
        <w:t>2017–2019: non-Saudi population fell from 14.60M to 12.56M (–14%) amid Saudization drives, before rebounding as construction and giga-project hiring resumed.</w:t>
      </w:r>
    </w:p>
    <w:p>
      <w:r>
        <w:rPr>
          <w:b/>
        </w:rPr>
        <w:t>Population by nationality, 2010–2024</w:t>
      </w:r>
    </w:p>
    <w:tbl>
      <w:tblPr>
        <w:tblStyle w:val="LightGrid-Accent1"/>
        <w:tblW w:type="auto" w:w="0"/>
        <w:jc w:val="left"/>
        <w:tblLook w:firstColumn="1" w:firstRow="1" w:lastColumn="0" w:lastRow="0" w:noHBand="0" w:noVBand="1" w:val="04A0"/>
      </w:tblPr>
      <w:tblGrid>
        <w:gridCol w:w="1949"/>
        <w:gridCol w:w="1949"/>
        <w:gridCol w:w="1949"/>
        <w:gridCol w:w="1949"/>
        <w:gridCol w:w="1949"/>
      </w:tblGrid>
      <w:tr>
        <w:tc>
          <w:tcPr>
            <w:tcW w:type="dxa" w:w="1152"/>
            <w:shd w:fill="211C15"/>
          </w:tcPr>
          <w:p>
            <w:r>
              <w:rPr>
                <w:b/>
                <w:color w:val="FFFFFF"/>
                <w:sz w:val="19"/>
              </w:rPr>
              <w:t>Year</w:t>
            </w:r>
          </w:p>
        </w:tc>
        <w:tc>
          <w:tcPr>
            <w:tcW w:type="dxa" w:w="2304"/>
            <w:shd w:fill="211C15"/>
          </w:tcPr>
          <w:p>
            <w:r>
              <w:rPr>
                <w:b/>
                <w:color w:val="FFFFFF"/>
                <w:sz w:val="19"/>
              </w:rPr>
              <w:t>Saudi nationals</w:t>
            </w:r>
          </w:p>
        </w:tc>
        <w:tc>
          <w:tcPr>
            <w:tcW w:type="dxa" w:w="2448"/>
            <w:shd w:fill="211C15"/>
          </w:tcPr>
          <w:p>
            <w:r>
              <w:rPr>
                <w:b/>
                <w:color w:val="FFFFFF"/>
                <w:sz w:val="19"/>
              </w:rPr>
              <w:t>Non-Saudi residents</w:t>
            </w:r>
          </w:p>
        </w:tc>
        <w:tc>
          <w:tcPr>
            <w:tcW w:type="dxa" w:w="2016"/>
            <w:shd w:fill="211C15"/>
          </w:tcPr>
          <w:p>
            <w:r>
              <w:rPr>
                <w:b/>
                <w:color w:val="FFFFFF"/>
                <w:sz w:val="19"/>
              </w:rPr>
              <w:t>Total</w:t>
            </w:r>
          </w:p>
        </w:tc>
        <w:tc>
          <w:tcPr>
            <w:tcW w:type="dxa" w:w="1872"/>
            <w:shd w:fill="211C15"/>
          </w:tcPr>
          <w:p>
            <w:r>
              <w:rPr>
                <w:b/>
                <w:color w:val="FFFFFF"/>
                <w:sz w:val="19"/>
              </w:rPr>
              <w:t>Non-Saudi share</w:t>
            </w:r>
          </w:p>
        </w:tc>
      </w:tr>
      <w:tr>
        <w:tc>
          <w:tcPr>
            <w:tcW w:type="dxa" w:w="1152"/>
          </w:tcPr>
          <w:p>
            <w:pPr>
              <w:jc w:val="left"/>
            </w:pPr>
            <w:r>
              <w:rPr>
                <w:color w:val="211C15"/>
                <w:sz w:val="19"/>
              </w:rPr>
              <w:t>2010</w:t>
            </w:r>
          </w:p>
        </w:tc>
        <w:tc>
          <w:tcPr>
            <w:tcW w:type="dxa" w:w="2304"/>
          </w:tcPr>
          <w:p>
            <w:pPr>
              <w:jc w:val="right"/>
            </w:pPr>
            <w:r>
              <w:rPr>
                <w:color w:val="211C15"/>
                <w:sz w:val="19"/>
              </w:rPr>
              <w:t>14,046,164</w:t>
            </w:r>
          </w:p>
        </w:tc>
        <w:tc>
          <w:tcPr>
            <w:tcW w:type="dxa" w:w="2448"/>
          </w:tcPr>
          <w:p>
            <w:pPr>
              <w:jc w:val="right"/>
            </w:pPr>
            <w:r>
              <w:rPr>
                <w:color w:val="211C15"/>
                <w:sz w:val="19"/>
              </w:rPr>
              <w:t>9,932,323</w:t>
            </w:r>
          </w:p>
        </w:tc>
        <w:tc>
          <w:tcPr>
            <w:tcW w:type="dxa" w:w="2016"/>
          </w:tcPr>
          <w:p>
            <w:pPr>
              <w:jc w:val="right"/>
            </w:pPr>
            <w:r>
              <w:rPr>
                <w:color w:val="211C15"/>
                <w:sz w:val="19"/>
              </w:rPr>
              <w:t>23,978,487</w:t>
            </w:r>
          </w:p>
        </w:tc>
        <w:tc>
          <w:tcPr>
            <w:tcW w:type="dxa" w:w="1872"/>
          </w:tcPr>
          <w:p>
            <w:pPr>
              <w:jc w:val="right"/>
            </w:pPr>
            <w:r>
              <w:rPr>
                <w:color w:val="211C15"/>
                <w:sz w:val="19"/>
              </w:rPr>
              <w:t>41.4%</w:t>
            </w:r>
          </w:p>
        </w:tc>
      </w:tr>
      <w:tr>
        <w:tc>
          <w:tcPr>
            <w:tcW w:type="dxa" w:w="1152"/>
          </w:tcPr>
          <w:p>
            <w:pPr>
              <w:jc w:val="left"/>
            </w:pPr>
            <w:r>
              <w:rPr>
                <w:color w:val="211C15"/>
                <w:sz w:val="19"/>
              </w:rPr>
              <w:t>2011</w:t>
            </w:r>
          </w:p>
        </w:tc>
        <w:tc>
          <w:tcPr>
            <w:tcW w:type="dxa" w:w="2304"/>
          </w:tcPr>
          <w:p>
            <w:pPr>
              <w:jc w:val="right"/>
            </w:pPr>
            <w:r>
              <w:rPr>
                <w:color w:val="211C15"/>
                <w:sz w:val="19"/>
              </w:rPr>
              <w:t>14,342,129</w:t>
            </w:r>
          </w:p>
        </w:tc>
        <w:tc>
          <w:tcPr>
            <w:tcW w:type="dxa" w:w="2448"/>
          </w:tcPr>
          <w:p>
            <w:pPr>
              <w:jc w:val="right"/>
            </w:pPr>
            <w:r>
              <w:rPr>
                <w:color w:val="211C15"/>
                <w:sz w:val="19"/>
              </w:rPr>
              <w:t>10,749,738</w:t>
            </w:r>
          </w:p>
        </w:tc>
        <w:tc>
          <w:tcPr>
            <w:tcW w:type="dxa" w:w="2016"/>
          </w:tcPr>
          <w:p>
            <w:pPr>
              <w:jc w:val="right"/>
            </w:pPr>
            <w:r>
              <w:rPr>
                <w:color w:val="211C15"/>
                <w:sz w:val="19"/>
              </w:rPr>
              <w:t>25,091,867</w:t>
            </w:r>
          </w:p>
        </w:tc>
        <w:tc>
          <w:tcPr>
            <w:tcW w:type="dxa" w:w="1872"/>
          </w:tcPr>
          <w:p>
            <w:pPr>
              <w:jc w:val="right"/>
            </w:pPr>
            <w:r>
              <w:rPr>
                <w:color w:val="211C15"/>
                <w:sz w:val="19"/>
              </w:rPr>
              <w:t>42.8%</w:t>
            </w:r>
          </w:p>
        </w:tc>
      </w:tr>
      <w:tr>
        <w:tc>
          <w:tcPr>
            <w:tcW w:type="dxa" w:w="1152"/>
          </w:tcPr>
          <w:p>
            <w:pPr>
              <w:jc w:val="left"/>
            </w:pPr>
            <w:r>
              <w:rPr>
                <w:color w:val="211C15"/>
                <w:sz w:val="19"/>
              </w:rPr>
              <w:t>2012</w:t>
            </w:r>
          </w:p>
        </w:tc>
        <w:tc>
          <w:tcPr>
            <w:tcW w:type="dxa" w:w="2304"/>
          </w:tcPr>
          <w:p>
            <w:pPr>
              <w:jc w:val="right"/>
            </w:pPr>
            <w:r>
              <w:rPr>
                <w:color w:val="211C15"/>
                <w:sz w:val="19"/>
              </w:rPr>
              <w:t>14,683,546</w:t>
            </w:r>
          </w:p>
        </w:tc>
        <w:tc>
          <w:tcPr>
            <w:tcW w:type="dxa" w:w="2448"/>
          </w:tcPr>
          <w:p>
            <w:pPr>
              <w:jc w:val="right"/>
            </w:pPr>
            <w:r>
              <w:rPr>
                <w:color w:val="211C15"/>
                <w:sz w:val="19"/>
              </w:rPr>
              <w:t>11,485,315</w:t>
            </w:r>
          </w:p>
        </w:tc>
        <w:tc>
          <w:tcPr>
            <w:tcW w:type="dxa" w:w="2016"/>
          </w:tcPr>
          <w:p>
            <w:pPr>
              <w:jc w:val="right"/>
            </w:pPr>
            <w:r>
              <w:rPr>
                <w:color w:val="211C15"/>
                <w:sz w:val="19"/>
              </w:rPr>
              <w:t>26,168,861</w:t>
            </w:r>
          </w:p>
        </w:tc>
        <w:tc>
          <w:tcPr>
            <w:tcW w:type="dxa" w:w="1872"/>
          </w:tcPr>
          <w:p>
            <w:pPr>
              <w:jc w:val="right"/>
            </w:pPr>
            <w:r>
              <w:rPr>
                <w:color w:val="211C15"/>
                <w:sz w:val="19"/>
              </w:rPr>
              <w:t>43.9%</w:t>
            </w:r>
          </w:p>
        </w:tc>
      </w:tr>
      <w:tr>
        <w:tc>
          <w:tcPr>
            <w:tcW w:type="dxa" w:w="1152"/>
          </w:tcPr>
          <w:p>
            <w:pPr>
              <w:jc w:val="left"/>
            </w:pPr>
            <w:r>
              <w:rPr>
                <w:color w:val="211C15"/>
                <w:sz w:val="19"/>
              </w:rPr>
              <w:t>2013</w:t>
            </w:r>
          </w:p>
        </w:tc>
        <w:tc>
          <w:tcPr>
            <w:tcW w:type="dxa" w:w="2304"/>
          </w:tcPr>
          <w:p>
            <w:pPr>
              <w:jc w:val="right"/>
            </w:pPr>
            <w:r>
              <w:rPr>
                <w:color w:val="211C15"/>
                <w:sz w:val="19"/>
              </w:rPr>
              <w:t>15,079,401</w:t>
            </w:r>
          </w:p>
        </w:tc>
        <w:tc>
          <w:tcPr>
            <w:tcW w:type="dxa" w:w="2448"/>
          </w:tcPr>
          <w:p>
            <w:pPr>
              <w:jc w:val="right"/>
            </w:pPr>
            <w:r>
              <w:rPr>
                <w:color w:val="211C15"/>
                <w:sz w:val="19"/>
              </w:rPr>
              <w:t>12,544,603</w:t>
            </w:r>
          </w:p>
        </w:tc>
        <w:tc>
          <w:tcPr>
            <w:tcW w:type="dxa" w:w="2016"/>
          </w:tcPr>
          <w:p>
            <w:pPr>
              <w:jc w:val="right"/>
            </w:pPr>
            <w:r>
              <w:rPr>
                <w:color w:val="211C15"/>
                <w:sz w:val="19"/>
              </w:rPr>
              <w:t>27,624,004</w:t>
            </w:r>
          </w:p>
        </w:tc>
        <w:tc>
          <w:tcPr>
            <w:tcW w:type="dxa" w:w="1872"/>
          </w:tcPr>
          <w:p>
            <w:pPr>
              <w:jc w:val="right"/>
            </w:pPr>
            <w:r>
              <w:rPr>
                <w:color w:val="211C15"/>
                <w:sz w:val="19"/>
              </w:rPr>
              <w:t>45.4%</w:t>
            </w:r>
          </w:p>
        </w:tc>
      </w:tr>
      <w:tr>
        <w:tc>
          <w:tcPr>
            <w:tcW w:type="dxa" w:w="1152"/>
          </w:tcPr>
          <w:p>
            <w:pPr>
              <w:jc w:val="left"/>
            </w:pPr>
            <w:r>
              <w:rPr>
                <w:color w:val="211C15"/>
                <w:sz w:val="19"/>
              </w:rPr>
              <w:t>2014</w:t>
            </w:r>
          </w:p>
        </w:tc>
        <w:tc>
          <w:tcPr>
            <w:tcW w:type="dxa" w:w="2304"/>
          </w:tcPr>
          <w:p>
            <w:pPr>
              <w:jc w:val="right"/>
            </w:pPr>
            <w:r>
              <w:rPr>
                <w:color w:val="211C15"/>
                <w:sz w:val="19"/>
              </w:rPr>
              <w:t>15,535,036</w:t>
            </w:r>
          </w:p>
        </w:tc>
        <w:tc>
          <w:tcPr>
            <w:tcW w:type="dxa" w:w="2448"/>
          </w:tcPr>
          <w:p>
            <w:pPr>
              <w:jc w:val="right"/>
            </w:pPr>
            <w:r>
              <w:rPr>
                <w:color w:val="211C15"/>
                <w:sz w:val="19"/>
              </w:rPr>
              <w:t>12,774,237</w:t>
            </w:r>
          </w:p>
        </w:tc>
        <w:tc>
          <w:tcPr>
            <w:tcW w:type="dxa" w:w="2016"/>
          </w:tcPr>
          <w:p>
            <w:pPr>
              <w:jc w:val="right"/>
            </w:pPr>
            <w:r>
              <w:rPr>
                <w:color w:val="211C15"/>
                <w:sz w:val="19"/>
              </w:rPr>
              <w:t>28,309,273</w:t>
            </w:r>
          </w:p>
        </w:tc>
        <w:tc>
          <w:tcPr>
            <w:tcW w:type="dxa" w:w="1872"/>
          </w:tcPr>
          <w:p>
            <w:pPr>
              <w:jc w:val="right"/>
            </w:pPr>
            <w:r>
              <w:rPr>
                <w:color w:val="211C15"/>
                <w:sz w:val="19"/>
              </w:rPr>
              <w:t>45.1%</w:t>
            </w:r>
          </w:p>
        </w:tc>
      </w:tr>
      <w:tr>
        <w:tc>
          <w:tcPr>
            <w:tcW w:type="dxa" w:w="1152"/>
          </w:tcPr>
          <w:p>
            <w:pPr>
              <w:jc w:val="left"/>
            </w:pPr>
            <w:r>
              <w:rPr>
                <w:color w:val="211C15"/>
                <w:sz w:val="19"/>
              </w:rPr>
              <w:t>2015</w:t>
            </w:r>
          </w:p>
        </w:tc>
        <w:tc>
          <w:tcPr>
            <w:tcW w:type="dxa" w:w="2304"/>
          </w:tcPr>
          <w:p>
            <w:pPr>
              <w:jc w:val="right"/>
            </w:pPr>
            <w:r>
              <w:rPr>
                <w:color w:val="211C15"/>
                <w:sz w:val="19"/>
              </w:rPr>
              <w:t>15,968,071</w:t>
            </w:r>
          </w:p>
        </w:tc>
        <w:tc>
          <w:tcPr>
            <w:tcW w:type="dxa" w:w="2448"/>
          </w:tcPr>
          <w:p>
            <w:pPr>
              <w:jc w:val="right"/>
            </w:pPr>
            <w:r>
              <w:rPr>
                <w:color w:val="211C15"/>
                <w:sz w:val="19"/>
              </w:rPr>
              <w:t>13,848,311</w:t>
            </w:r>
          </w:p>
        </w:tc>
        <w:tc>
          <w:tcPr>
            <w:tcW w:type="dxa" w:w="2016"/>
          </w:tcPr>
          <w:p>
            <w:pPr>
              <w:jc w:val="right"/>
            </w:pPr>
            <w:r>
              <w:rPr>
                <w:color w:val="211C15"/>
                <w:sz w:val="19"/>
              </w:rPr>
              <w:t>29,816,382</w:t>
            </w:r>
          </w:p>
        </w:tc>
        <w:tc>
          <w:tcPr>
            <w:tcW w:type="dxa" w:w="1872"/>
          </w:tcPr>
          <w:p>
            <w:pPr>
              <w:jc w:val="right"/>
            </w:pPr>
            <w:r>
              <w:rPr>
                <w:color w:val="211C15"/>
                <w:sz w:val="19"/>
              </w:rPr>
              <w:t>46.4%</w:t>
            </w:r>
          </w:p>
        </w:tc>
      </w:tr>
      <w:tr>
        <w:tc>
          <w:tcPr>
            <w:tcW w:type="dxa" w:w="1152"/>
          </w:tcPr>
          <w:p>
            <w:pPr>
              <w:jc w:val="left"/>
            </w:pPr>
            <w:r>
              <w:rPr>
                <w:color w:val="211C15"/>
                <w:sz w:val="19"/>
              </w:rPr>
              <w:t>2016</w:t>
            </w:r>
          </w:p>
        </w:tc>
        <w:tc>
          <w:tcPr>
            <w:tcW w:type="dxa" w:w="2304"/>
          </w:tcPr>
          <w:p>
            <w:pPr>
              <w:jc w:val="right"/>
            </w:pPr>
            <w:r>
              <w:rPr>
                <w:color w:val="211C15"/>
                <w:sz w:val="19"/>
              </w:rPr>
              <w:t>16,355,312</w:t>
            </w:r>
          </w:p>
        </w:tc>
        <w:tc>
          <w:tcPr>
            <w:tcW w:type="dxa" w:w="2448"/>
          </w:tcPr>
          <w:p>
            <w:pPr>
              <w:jc w:val="right"/>
            </w:pPr>
            <w:r>
              <w:rPr>
                <w:color w:val="211C15"/>
                <w:sz w:val="19"/>
              </w:rPr>
              <w:t>14,598,886</w:t>
            </w:r>
          </w:p>
        </w:tc>
        <w:tc>
          <w:tcPr>
            <w:tcW w:type="dxa" w:w="2016"/>
          </w:tcPr>
          <w:p>
            <w:pPr>
              <w:jc w:val="right"/>
            </w:pPr>
            <w:r>
              <w:rPr>
                <w:color w:val="211C15"/>
                <w:sz w:val="19"/>
              </w:rPr>
              <w:t>30,954,198</w:t>
            </w:r>
          </w:p>
        </w:tc>
        <w:tc>
          <w:tcPr>
            <w:tcW w:type="dxa" w:w="1872"/>
          </w:tcPr>
          <w:p>
            <w:pPr>
              <w:jc w:val="right"/>
            </w:pPr>
            <w:r>
              <w:rPr>
                <w:color w:val="211C15"/>
                <w:sz w:val="19"/>
              </w:rPr>
              <w:t>47.2%</w:t>
            </w:r>
          </w:p>
        </w:tc>
      </w:tr>
      <w:tr>
        <w:tc>
          <w:tcPr>
            <w:tcW w:type="dxa" w:w="1152"/>
          </w:tcPr>
          <w:p>
            <w:pPr>
              <w:jc w:val="left"/>
            </w:pPr>
            <w:r>
              <w:rPr>
                <w:color w:val="211C15"/>
                <w:sz w:val="19"/>
              </w:rPr>
              <w:t>2017</w:t>
            </w:r>
          </w:p>
        </w:tc>
        <w:tc>
          <w:tcPr>
            <w:tcW w:type="dxa" w:w="2304"/>
          </w:tcPr>
          <w:p>
            <w:pPr>
              <w:jc w:val="right"/>
            </w:pPr>
            <w:r>
              <w:rPr>
                <w:color w:val="211C15"/>
                <w:sz w:val="19"/>
              </w:rPr>
              <w:t>16,696,980</w:t>
            </w:r>
          </w:p>
        </w:tc>
        <w:tc>
          <w:tcPr>
            <w:tcW w:type="dxa" w:w="2448"/>
          </w:tcPr>
          <w:p>
            <w:pPr>
              <w:jc w:val="right"/>
            </w:pPr>
            <w:r>
              <w:rPr>
                <w:color w:val="211C15"/>
                <w:sz w:val="19"/>
              </w:rPr>
              <w:t>14,280,375</w:t>
            </w:r>
          </w:p>
        </w:tc>
        <w:tc>
          <w:tcPr>
            <w:tcW w:type="dxa" w:w="2016"/>
          </w:tcPr>
          <w:p>
            <w:pPr>
              <w:jc w:val="right"/>
            </w:pPr>
            <w:r>
              <w:rPr>
                <w:color w:val="211C15"/>
                <w:sz w:val="19"/>
              </w:rPr>
              <w:t>30,977,355</w:t>
            </w:r>
          </w:p>
        </w:tc>
        <w:tc>
          <w:tcPr>
            <w:tcW w:type="dxa" w:w="1872"/>
          </w:tcPr>
          <w:p>
            <w:pPr>
              <w:jc w:val="right"/>
            </w:pPr>
            <w:r>
              <w:rPr>
                <w:color w:val="211C15"/>
                <w:sz w:val="19"/>
              </w:rPr>
              <w:t>46.1%</w:t>
            </w:r>
          </w:p>
        </w:tc>
      </w:tr>
      <w:tr>
        <w:tc>
          <w:tcPr>
            <w:tcW w:type="dxa" w:w="1152"/>
          </w:tcPr>
          <w:p>
            <w:pPr>
              <w:jc w:val="left"/>
            </w:pPr>
            <w:r>
              <w:rPr>
                <w:color w:val="211C15"/>
                <w:sz w:val="19"/>
              </w:rPr>
              <w:t>2018</w:t>
            </w:r>
          </w:p>
        </w:tc>
        <w:tc>
          <w:tcPr>
            <w:tcW w:type="dxa" w:w="2304"/>
          </w:tcPr>
          <w:p>
            <w:pPr>
              <w:jc w:val="right"/>
            </w:pPr>
            <w:r>
              <w:rPr>
                <w:color w:val="211C15"/>
                <w:sz w:val="19"/>
              </w:rPr>
              <w:t>17,085,636</w:t>
            </w:r>
          </w:p>
        </w:tc>
        <w:tc>
          <w:tcPr>
            <w:tcW w:type="dxa" w:w="2448"/>
          </w:tcPr>
          <w:p>
            <w:pPr>
              <w:jc w:val="right"/>
            </w:pPr>
            <w:r>
              <w:rPr>
                <w:color w:val="211C15"/>
                <w:sz w:val="19"/>
              </w:rPr>
              <w:t>13,110,645</w:t>
            </w:r>
          </w:p>
        </w:tc>
        <w:tc>
          <w:tcPr>
            <w:tcW w:type="dxa" w:w="2016"/>
          </w:tcPr>
          <w:p>
            <w:pPr>
              <w:jc w:val="right"/>
            </w:pPr>
            <w:r>
              <w:rPr>
                <w:color w:val="211C15"/>
                <w:sz w:val="19"/>
              </w:rPr>
              <w:t>30,196,281</w:t>
            </w:r>
          </w:p>
        </w:tc>
        <w:tc>
          <w:tcPr>
            <w:tcW w:type="dxa" w:w="1872"/>
          </w:tcPr>
          <w:p>
            <w:pPr>
              <w:jc w:val="right"/>
            </w:pPr>
            <w:r>
              <w:rPr>
                <w:color w:val="211C15"/>
                <w:sz w:val="19"/>
              </w:rPr>
              <w:t>43.4%</w:t>
            </w:r>
          </w:p>
        </w:tc>
      </w:tr>
      <w:tr>
        <w:tc>
          <w:tcPr>
            <w:tcW w:type="dxa" w:w="1152"/>
          </w:tcPr>
          <w:p>
            <w:pPr>
              <w:jc w:val="left"/>
            </w:pPr>
            <w:r>
              <w:rPr>
                <w:color w:val="211C15"/>
                <w:sz w:val="19"/>
              </w:rPr>
              <w:t>2019</w:t>
            </w:r>
          </w:p>
        </w:tc>
        <w:tc>
          <w:tcPr>
            <w:tcW w:type="dxa" w:w="2304"/>
          </w:tcPr>
          <w:p>
            <w:pPr>
              <w:jc w:val="right"/>
            </w:pPr>
            <w:r>
              <w:rPr>
                <w:color w:val="211C15"/>
                <w:sz w:val="19"/>
              </w:rPr>
              <w:t>17,507,171</w:t>
            </w:r>
          </w:p>
        </w:tc>
        <w:tc>
          <w:tcPr>
            <w:tcW w:type="dxa" w:w="2448"/>
          </w:tcPr>
          <w:p>
            <w:pPr>
              <w:jc w:val="right"/>
            </w:pPr>
            <w:r>
              <w:rPr>
                <w:color w:val="211C15"/>
                <w:sz w:val="19"/>
              </w:rPr>
              <w:t>12,556,628</w:t>
            </w:r>
          </w:p>
        </w:tc>
        <w:tc>
          <w:tcPr>
            <w:tcW w:type="dxa" w:w="2016"/>
          </w:tcPr>
          <w:p>
            <w:pPr>
              <w:jc w:val="right"/>
            </w:pPr>
            <w:r>
              <w:rPr>
                <w:color w:val="211C15"/>
                <w:sz w:val="19"/>
              </w:rPr>
              <w:t>30,063,799</w:t>
            </w:r>
          </w:p>
        </w:tc>
        <w:tc>
          <w:tcPr>
            <w:tcW w:type="dxa" w:w="1872"/>
          </w:tcPr>
          <w:p>
            <w:pPr>
              <w:jc w:val="right"/>
            </w:pPr>
            <w:r>
              <w:rPr>
                <w:color w:val="211C15"/>
                <w:sz w:val="19"/>
              </w:rPr>
              <w:t>41.8%</w:t>
            </w:r>
          </w:p>
        </w:tc>
      </w:tr>
      <w:tr>
        <w:tc>
          <w:tcPr>
            <w:tcW w:type="dxa" w:w="1152"/>
          </w:tcPr>
          <w:p>
            <w:pPr>
              <w:jc w:val="left"/>
            </w:pPr>
            <w:r>
              <w:rPr>
                <w:color w:val="211C15"/>
                <w:sz w:val="19"/>
              </w:rPr>
              <w:t>2020</w:t>
            </w:r>
          </w:p>
        </w:tc>
        <w:tc>
          <w:tcPr>
            <w:tcW w:type="dxa" w:w="2304"/>
          </w:tcPr>
          <w:p>
            <w:pPr>
              <w:jc w:val="right"/>
            </w:pPr>
            <w:r>
              <w:rPr>
                <w:color w:val="211C15"/>
                <w:sz w:val="19"/>
              </w:rPr>
              <w:t>17,978,587</w:t>
            </w:r>
          </w:p>
        </w:tc>
        <w:tc>
          <w:tcPr>
            <w:tcW w:type="dxa" w:w="2448"/>
          </w:tcPr>
          <w:p>
            <w:pPr>
              <w:jc w:val="right"/>
            </w:pPr>
            <w:r>
              <w:rPr>
                <w:color w:val="211C15"/>
                <w:sz w:val="19"/>
              </w:rPr>
              <w:t>13,573,923</w:t>
            </w:r>
          </w:p>
        </w:tc>
        <w:tc>
          <w:tcPr>
            <w:tcW w:type="dxa" w:w="2016"/>
          </w:tcPr>
          <w:p>
            <w:pPr>
              <w:jc w:val="right"/>
            </w:pPr>
            <w:r>
              <w:rPr>
                <w:color w:val="211C15"/>
                <w:sz w:val="19"/>
              </w:rPr>
              <w:t>31,552,510</w:t>
            </w:r>
          </w:p>
        </w:tc>
        <w:tc>
          <w:tcPr>
            <w:tcW w:type="dxa" w:w="1872"/>
          </w:tcPr>
          <w:p>
            <w:pPr>
              <w:jc w:val="right"/>
            </w:pPr>
            <w:r>
              <w:rPr>
                <w:color w:val="211C15"/>
                <w:sz w:val="19"/>
              </w:rPr>
              <w:t>43.0%</w:t>
            </w:r>
          </w:p>
        </w:tc>
      </w:tr>
      <w:tr>
        <w:tc>
          <w:tcPr>
            <w:tcW w:type="dxa" w:w="1152"/>
          </w:tcPr>
          <w:p>
            <w:pPr>
              <w:jc w:val="left"/>
            </w:pPr>
            <w:r>
              <w:rPr>
                <w:color w:val="211C15"/>
                <w:sz w:val="19"/>
              </w:rPr>
              <w:t>2021</w:t>
            </w:r>
          </w:p>
        </w:tc>
        <w:tc>
          <w:tcPr>
            <w:tcW w:type="dxa" w:w="2304"/>
          </w:tcPr>
          <w:p>
            <w:pPr>
              <w:jc w:val="right"/>
            </w:pPr>
            <w:r>
              <w:rPr>
                <w:color w:val="211C15"/>
                <w:sz w:val="19"/>
              </w:rPr>
              <w:t>18,380,669</w:t>
            </w:r>
          </w:p>
        </w:tc>
        <w:tc>
          <w:tcPr>
            <w:tcW w:type="dxa" w:w="2448"/>
          </w:tcPr>
          <w:p>
            <w:pPr>
              <w:jc w:val="right"/>
            </w:pPr>
            <w:r>
              <w:rPr>
                <w:color w:val="211C15"/>
                <w:sz w:val="19"/>
              </w:rPr>
              <w:t>12,403,714</w:t>
            </w:r>
          </w:p>
        </w:tc>
        <w:tc>
          <w:tcPr>
            <w:tcW w:type="dxa" w:w="2016"/>
          </w:tcPr>
          <w:p>
            <w:pPr>
              <w:jc w:val="right"/>
            </w:pPr>
            <w:r>
              <w:rPr>
                <w:color w:val="211C15"/>
                <w:sz w:val="19"/>
              </w:rPr>
              <w:t>30,784,383</w:t>
            </w:r>
          </w:p>
        </w:tc>
        <w:tc>
          <w:tcPr>
            <w:tcW w:type="dxa" w:w="1872"/>
          </w:tcPr>
          <w:p>
            <w:pPr>
              <w:jc w:val="right"/>
            </w:pPr>
            <w:r>
              <w:rPr>
                <w:color w:val="211C15"/>
                <w:sz w:val="19"/>
              </w:rPr>
              <w:t>40.3%</w:t>
            </w:r>
          </w:p>
        </w:tc>
      </w:tr>
      <w:tr>
        <w:tc>
          <w:tcPr>
            <w:tcW w:type="dxa" w:w="1152"/>
          </w:tcPr>
          <w:p>
            <w:pPr>
              <w:jc w:val="left"/>
            </w:pPr>
            <w:r>
              <w:rPr>
                <w:color w:val="211C15"/>
                <w:sz w:val="19"/>
              </w:rPr>
              <w:t>2022</w:t>
            </w:r>
          </w:p>
        </w:tc>
        <w:tc>
          <w:tcPr>
            <w:tcW w:type="dxa" w:w="2304"/>
          </w:tcPr>
          <w:p>
            <w:pPr>
              <w:jc w:val="right"/>
            </w:pPr>
            <w:r>
              <w:rPr>
                <w:color w:val="211C15"/>
                <w:sz w:val="19"/>
              </w:rPr>
              <w:t>18,792,262</w:t>
            </w:r>
          </w:p>
        </w:tc>
        <w:tc>
          <w:tcPr>
            <w:tcW w:type="dxa" w:w="2448"/>
          </w:tcPr>
          <w:p>
            <w:pPr>
              <w:jc w:val="right"/>
            </w:pPr>
            <w:r>
              <w:rPr>
                <w:color w:val="211C15"/>
                <w:sz w:val="19"/>
              </w:rPr>
              <w:t>13,382,962</w:t>
            </w:r>
          </w:p>
        </w:tc>
        <w:tc>
          <w:tcPr>
            <w:tcW w:type="dxa" w:w="2016"/>
          </w:tcPr>
          <w:p>
            <w:pPr>
              <w:jc w:val="right"/>
            </w:pPr>
            <w:r>
              <w:rPr>
                <w:color w:val="211C15"/>
                <w:sz w:val="19"/>
              </w:rPr>
              <w:t>32,175,224</w:t>
            </w:r>
          </w:p>
        </w:tc>
        <w:tc>
          <w:tcPr>
            <w:tcW w:type="dxa" w:w="1872"/>
          </w:tcPr>
          <w:p>
            <w:pPr>
              <w:jc w:val="right"/>
            </w:pPr>
            <w:r>
              <w:rPr>
                <w:color w:val="211C15"/>
                <w:sz w:val="19"/>
              </w:rPr>
              <w:t>41.6%</w:t>
            </w:r>
          </w:p>
        </w:tc>
      </w:tr>
      <w:tr>
        <w:tc>
          <w:tcPr>
            <w:tcW w:type="dxa" w:w="1152"/>
          </w:tcPr>
          <w:p>
            <w:pPr>
              <w:jc w:val="left"/>
            </w:pPr>
            <w:r>
              <w:rPr>
                <w:color w:val="211C15"/>
                <w:sz w:val="19"/>
              </w:rPr>
              <w:t>2023</w:t>
            </w:r>
          </w:p>
        </w:tc>
        <w:tc>
          <w:tcPr>
            <w:tcW w:type="dxa" w:w="2304"/>
          </w:tcPr>
          <w:p>
            <w:pPr>
              <w:jc w:val="right"/>
            </w:pPr>
            <w:r>
              <w:rPr>
                <w:color w:val="211C15"/>
                <w:sz w:val="19"/>
              </w:rPr>
              <w:t>19,245,929</w:t>
            </w:r>
          </w:p>
        </w:tc>
        <w:tc>
          <w:tcPr>
            <w:tcW w:type="dxa" w:w="2448"/>
          </w:tcPr>
          <w:p>
            <w:pPr>
              <w:jc w:val="right"/>
            </w:pPr>
            <w:r>
              <w:rPr>
                <w:color w:val="211C15"/>
                <w:sz w:val="19"/>
              </w:rPr>
              <w:t>14,456,802</w:t>
            </w:r>
          </w:p>
        </w:tc>
        <w:tc>
          <w:tcPr>
            <w:tcW w:type="dxa" w:w="2016"/>
          </w:tcPr>
          <w:p>
            <w:pPr>
              <w:jc w:val="right"/>
            </w:pPr>
            <w:r>
              <w:rPr>
                <w:color w:val="211C15"/>
                <w:sz w:val="19"/>
              </w:rPr>
              <w:t>33,702,731</w:t>
            </w:r>
          </w:p>
        </w:tc>
        <w:tc>
          <w:tcPr>
            <w:tcW w:type="dxa" w:w="1872"/>
          </w:tcPr>
          <w:p>
            <w:pPr>
              <w:jc w:val="right"/>
            </w:pPr>
            <w:r>
              <w:rPr>
                <w:color w:val="211C15"/>
                <w:sz w:val="19"/>
              </w:rPr>
              <w:t>42.9%</w:t>
            </w:r>
          </w:p>
        </w:tc>
      </w:tr>
      <w:tr>
        <w:tc>
          <w:tcPr>
            <w:tcW w:type="dxa" w:w="1152"/>
          </w:tcPr>
          <w:p>
            <w:pPr>
              <w:jc w:val="left"/>
            </w:pPr>
            <w:r>
              <w:rPr>
                <w:color w:val="211C15"/>
                <w:sz w:val="19"/>
              </w:rPr>
              <w:t>2024</w:t>
            </w:r>
          </w:p>
        </w:tc>
        <w:tc>
          <w:tcPr>
            <w:tcW w:type="dxa" w:w="2304"/>
          </w:tcPr>
          <w:p>
            <w:pPr>
              <w:jc w:val="right"/>
            </w:pPr>
            <w:r>
              <w:rPr>
                <w:color w:val="211C15"/>
                <w:sz w:val="19"/>
              </w:rPr>
              <w:t>19,635,258</w:t>
            </w:r>
          </w:p>
        </w:tc>
        <w:tc>
          <w:tcPr>
            <w:tcW w:type="dxa" w:w="2448"/>
          </w:tcPr>
          <w:p>
            <w:pPr>
              <w:jc w:val="right"/>
            </w:pPr>
            <w:r>
              <w:rPr>
                <w:color w:val="211C15"/>
                <w:sz w:val="19"/>
              </w:rPr>
              <w:t>15,665,022</w:t>
            </w:r>
          </w:p>
        </w:tc>
        <w:tc>
          <w:tcPr>
            <w:tcW w:type="dxa" w:w="2016"/>
          </w:tcPr>
          <w:p>
            <w:pPr>
              <w:jc w:val="right"/>
            </w:pPr>
            <w:r>
              <w:rPr>
                <w:color w:val="211C15"/>
                <w:sz w:val="19"/>
              </w:rPr>
              <w:t>35,300,280</w:t>
            </w:r>
          </w:p>
        </w:tc>
        <w:tc>
          <w:tcPr>
            <w:tcW w:type="dxa" w:w="1872"/>
          </w:tcPr>
          <w:p>
            <w:pPr>
              <w:jc w:val="right"/>
            </w:pPr>
            <w:r>
              <w:rPr>
                <w:color w:val="211C15"/>
                <w:sz w:val="19"/>
              </w:rPr>
              <w:t>44.4%</w:t>
            </w:r>
          </w:p>
        </w:tc>
      </w:tr>
    </w:tbl>
    <w:p>
      <w:r>
        <w:br w:type="page"/>
      </w:r>
    </w:p>
    <w:p>
      <w:pPr>
        <w:pStyle w:val="Heading1"/>
      </w:pPr>
      <w:r>
        <w:t>02 — Cities &amp; Regions</w:t>
      </w:r>
    </w:p>
    <w:p>
      <w:r>
        <w:t>Saudi Arabia has run two full population censuses this period — 2010 and 2022 — so city-level figures exist only at those two points; there is no official annual series per city. Ranked by 2022 population.</w:t>
      </w:r>
    </w:p>
    <w:p>
      <w:r>
        <w:drawing>
          <wp:inline xmlns:a="http://schemas.openxmlformats.org/drawingml/2006/main" xmlns:pic="http://schemas.openxmlformats.org/drawingml/2006/picture">
            <wp:extent cx="5760720" cy="3077966"/>
            <wp:docPr id="2" name="Picture 2"/>
            <wp:cNvGraphicFramePr>
              <a:graphicFrameLocks noChangeAspect="1"/>
            </wp:cNvGraphicFramePr>
            <a:graphic>
              <a:graphicData uri="http://schemas.openxmlformats.org/drawingml/2006/picture">
                <pic:pic>
                  <pic:nvPicPr>
                    <pic:cNvPr id="0" name="cities_chart.png"/>
                    <pic:cNvPicPr/>
                  </pic:nvPicPr>
                  <pic:blipFill>
                    <a:blip r:embed="rId10"/>
                    <a:stretch>
                      <a:fillRect/>
                    </a:stretch>
                  </pic:blipFill>
                  <pic:spPr>
                    <a:xfrm>
                      <a:off x="0" y="0"/>
                      <a:ext cx="5760720" cy="3077966"/>
                    </a:xfrm>
                    <a:prstGeom prst="rect"/>
                  </pic:spPr>
                </pic:pic>
              </a:graphicData>
            </a:graphic>
          </wp:inline>
        </w:drawing>
      </w:r>
    </w:p>
    <w:p>
      <w:r>
        <w:rPr>
          <w:b/>
        </w:rPr>
        <w:t>City population, 2010 vs. 2022 census</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2880"/>
            <w:shd w:fill="211C15"/>
          </w:tcPr>
          <w:p>
            <w:r>
              <w:rPr>
                <w:b/>
                <w:color w:val="FFFFFF"/>
                <w:sz w:val="19"/>
              </w:rPr>
              <w:t>City</w:t>
            </w:r>
          </w:p>
        </w:tc>
        <w:tc>
          <w:tcPr>
            <w:tcW w:type="dxa" w:w="2592"/>
            <w:shd w:fill="211C15"/>
          </w:tcPr>
          <w:p>
            <w:r>
              <w:rPr>
                <w:b/>
                <w:color w:val="FFFFFF"/>
                <w:sz w:val="19"/>
              </w:rPr>
              <w:t>2010 census</w:t>
            </w:r>
          </w:p>
        </w:tc>
        <w:tc>
          <w:tcPr>
            <w:tcW w:type="dxa" w:w="2592"/>
            <w:shd w:fill="211C15"/>
          </w:tcPr>
          <w:p>
            <w:r>
              <w:rPr>
                <w:b/>
                <w:color w:val="FFFFFF"/>
                <w:sz w:val="19"/>
              </w:rPr>
              <w:t>2022 census</w:t>
            </w:r>
          </w:p>
        </w:tc>
        <w:tc>
          <w:tcPr>
            <w:tcW w:type="dxa" w:w="2016"/>
            <w:shd w:fill="211C15"/>
          </w:tcPr>
          <w:p>
            <w:r>
              <w:rPr>
                <w:b/>
                <w:color w:val="FFFFFF"/>
                <w:sz w:val="19"/>
              </w:rPr>
              <w:t>CAGR</w:t>
            </w:r>
          </w:p>
        </w:tc>
      </w:tr>
      <w:tr>
        <w:tc>
          <w:tcPr>
            <w:tcW w:type="dxa" w:w="2880"/>
          </w:tcPr>
          <w:p>
            <w:pPr>
              <w:jc w:val="left"/>
            </w:pPr>
            <w:r>
              <w:rPr>
                <w:color w:val="211C15"/>
                <w:sz w:val="19"/>
              </w:rPr>
              <w:t>Riyadh</w:t>
            </w:r>
          </w:p>
        </w:tc>
        <w:tc>
          <w:tcPr>
            <w:tcW w:type="dxa" w:w="2592"/>
          </w:tcPr>
          <w:p>
            <w:pPr>
              <w:jc w:val="right"/>
            </w:pPr>
            <w:r>
              <w:rPr>
                <w:color w:val="211C15"/>
                <w:sz w:val="19"/>
              </w:rPr>
              <w:t>5,188,286</w:t>
            </w:r>
          </w:p>
        </w:tc>
        <w:tc>
          <w:tcPr>
            <w:tcW w:type="dxa" w:w="2592"/>
          </w:tcPr>
          <w:p>
            <w:pPr>
              <w:jc w:val="right"/>
            </w:pPr>
            <w:r>
              <w:rPr>
                <w:color w:val="211C15"/>
                <w:sz w:val="19"/>
              </w:rPr>
              <w:t>6,924,566</w:t>
            </w:r>
          </w:p>
        </w:tc>
        <w:tc>
          <w:tcPr>
            <w:tcW w:type="dxa" w:w="2016"/>
          </w:tcPr>
          <w:p>
            <w:pPr>
              <w:jc w:val="right"/>
            </w:pPr>
            <w:r>
              <w:rPr>
                <w:color w:val="211C15"/>
                <w:sz w:val="19"/>
              </w:rPr>
              <w:t>+2.43%/yr</w:t>
            </w:r>
          </w:p>
        </w:tc>
      </w:tr>
      <w:tr>
        <w:tc>
          <w:tcPr>
            <w:tcW w:type="dxa" w:w="2880"/>
          </w:tcPr>
          <w:p>
            <w:pPr>
              <w:jc w:val="left"/>
            </w:pPr>
            <w:r>
              <w:rPr>
                <w:color w:val="211C15"/>
                <w:sz w:val="19"/>
              </w:rPr>
              <w:t>Jeddah</w:t>
            </w:r>
          </w:p>
        </w:tc>
        <w:tc>
          <w:tcPr>
            <w:tcW w:type="dxa" w:w="2592"/>
          </w:tcPr>
          <w:p>
            <w:pPr>
              <w:jc w:val="right"/>
            </w:pPr>
            <w:r>
              <w:rPr>
                <w:color w:val="211C15"/>
                <w:sz w:val="19"/>
              </w:rPr>
              <w:t>3,430,697</w:t>
            </w:r>
          </w:p>
        </w:tc>
        <w:tc>
          <w:tcPr>
            <w:tcW w:type="dxa" w:w="2592"/>
          </w:tcPr>
          <w:p>
            <w:pPr>
              <w:jc w:val="right"/>
            </w:pPr>
            <w:r>
              <w:rPr>
                <w:color w:val="211C15"/>
                <w:sz w:val="19"/>
              </w:rPr>
              <w:t>3,712,917</w:t>
            </w:r>
          </w:p>
        </w:tc>
        <w:tc>
          <w:tcPr>
            <w:tcW w:type="dxa" w:w="2016"/>
          </w:tcPr>
          <w:p>
            <w:pPr>
              <w:jc w:val="right"/>
            </w:pPr>
            <w:r>
              <w:rPr>
                <w:color w:val="211C15"/>
                <w:sz w:val="19"/>
              </w:rPr>
              <w:t>+0.66%/yr</w:t>
            </w:r>
          </w:p>
        </w:tc>
      </w:tr>
      <w:tr>
        <w:tc>
          <w:tcPr>
            <w:tcW w:type="dxa" w:w="2880"/>
          </w:tcPr>
          <w:p>
            <w:pPr>
              <w:jc w:val="left"/>
            </w:pPr>
            <w:r>
              <w:rPr>
                <w:color w:val="211C15"/>
                <w:sz w:val="19"/>
              </w:rPr>
              <w:t>Mecca</w:t>
            </w:r>
          </w:p>
        </w:tc>
        <w:tc>
          <w:tcPr>
            <w:tcW w:type="dxa" w:w="2592"/>
          </w:tcPr>
          <w:p>
            <w:pPr>
              <w:jc w:val="right"/>
            </w:pPr>
            <w:r>
              <w:rPr>
                <w:color w:val="211C15"/>
                <w:sz w:val="19"/>
              </w:rPr>
              <w:t>1,534,731</w:t>
            </w:r>
          </w:p>
        </w:tc>
        <w:tc>
          <w:tcPr>
            <w:tcW w:type="dxa" w:w="2592"/>
          </w:tcPr>
          <w:p>
            <w:pPr>
              <w:jc w:val="right"/>
            </w:pPr>
            <w:r>
              <w:rPr>
                <w:color w:val="211C15"/>
                <w:sz w:val="19"/>
              </w:rPr>
              <w:t>2,385,509</w:t>
            </w:r>
          </w:p>
        </w:tc>
        <w:tc>
          <w:tcPr>
            <w:tcW w:type="dxa" w:w="2016"/>
          </w:tcPr>
          <w:p>
            <w:pPr>
              <w:jc w:val="right"/>
            </w:pPr>
            <w:r>
              <w:rPr>
                <w:color w:val="211C15"/>
                <w:sz w:val="19"/>
              </w:rPr>
              <w:t>+3.74%/yr</w:t>
            </w:r>
          </w:p>
        </w:tc>
      </w:tr>
      <w:tr>
        <w:tc>
          <w:tcPr>
            <w:tcW w:type="dxa" w:w="2880"/>
          </w:tcPr>
          <w:p>
            <w:pPr>
              <w:jc w:val="left"/>
            </w:pPr>
            <w:r>
              <w:rPr>
                <w:color w:val="211C15"/>
                <w:sz w:val="19"/>
              </w:rPr>
              <w:t>Medina</w:t>
            </w:r>
          </w:p>
        </w:tc>
        <w:tc>
          <w:tcPr>
            <w:tcW w:type="dxa" w:w="2592"/>
          </w:tcPr>
          <w:p>
            <w:pPr>
              <w:jc w:val="right"/>
            </w:pPr>
            <w:r>
              <w:rPr>
                <w:color w:val="211C15"/>
                <w:sz w:val="19"/>
              </w:rPr>
              <w:t>1,100,093</w:t>
            </w:r>
          </w:p>
        </w:tc>
        <w:tc>
          <w:tcPr>
            <w:tcW w:type="dxa" w:w="2592"/>
          </w:tcPr>
          <w:p>
            <w:pPr>
              <w:jc w:val="right"/>
            </w:pPr>
            <w:r>
              <w:rPr>
                <w:color w:val="211C15"/>
                <w:sz w:val="19"/>
              </w:rPr>
              <w:t>1,411,599</w:t>
            </w:r>
          </w:p>
        </w:tc>
        <w:tc>
          <w:tcPr>
            <w:tcW w:type="dxa" w:w="2016"/>
          </w:tcPr>
          <w:p>
            <w:pPr>
              <w:jc w:val="right"/>
            </w:pPr>
            <w:r>
              <w:rPr>
                <w:color w:val="211C15"/>
                <w:sz w:val="19"/>
              </w:rPr>
              <w:t>+2.10%/yr</w:t>
            </w:r>
          </w:p>
        </w:tc>
      </w:tr>
      <w:tr>
        <w:tc>
          <w:tcPr>
            <w:tcW w:type="dxa" w:w="2880"/>
          </w:tcPr>
          <w:p>
            <w:pPr>
              <w:jc w:val="left"/>
            </w:pPr>
            <w:r>
              <w:rPr>
                <w:color w:val="211C15"/>
                <w:sz w:val="19"/>
              </w:rPr>
              <w:t>Dammam</w:t>
            </w:r>
          </w:p>
        </w:tc>
        <w:tc>
          <w:tcPr>
            <w:tcW w:type="dxa" w:w="2592"/>
          </w:tcPr>
          <w:p>
            <w:pPr>
              <w:jc w:val="right"/>
            </w:pPr>
            <w:r>
              <w:rPr>
                <w:color w:val="211C15"/>
                <w:sz w:val="19"/>
              </w:rPr>
              <w:t>903,312</w:t>
            </w:r>
          </w:p>
        </w:tc>
        <w:tc>
          <w:tcPr>
            <w:tcW w:type="dxa" w:w="2592"/>
          </w:tcPr>
          <w:p>
            <w:pPr>
              <w:jc w:val="right"/>
            </w:pPr>
            <w:r>
              <w:rPr>
                <w:color w:val="211C15"/>
                <w:sz w:val="19"/>
              </w:rPr>
              <w:t>1,386,166</w:t>
            </w:r>
          </w:p>
        </w:tc>
        <w:tc>
          <w:tcPr>
            <w:tcW w:type="dxa" w:w="2016"/>
          </w:tcPr>
          <w:p>
            <w:pPr>
              <w:jc w:val="right"/>
            </w:pPr>
            <w:r>
              <w:rPr>
                <w:color w:val="211C15"/>
                <w:sz w:val="19"/>
              </w:rPr>
              <w:t>+3.63%/yr</w:t>
            </w:r>
          </w:p>
        </w:tc>
      </w:tr>
      <w:tr>
        <w:tc>
          <w:tcPr>
            <w:tcW w:type="dxa" w:w="2880"/>
          </w:tcPr>
          <w:p>
            <w:pPr>
              <w:jc w:val="left"/>
            </w:pPr>
            <w:r>
              <w:rPr>
                <w:color w:val="211C15"/>
                <w:sz w:val="19"/>
              </w:rPr>
              <w:t>Al-Hofuf</w:t>
            </w:r>
          </w:p>
        </w:tc>
        <w:tc>
          <w:tcPr>
            <w:tcW w:type="dxa" w:w="2592"/>
          </w:tcPr>
          <w:p>
            <w:pPr>
              <w:jc w:val="right"/>
            </w:pPr>
            <w:r>
              <w:rPr>
                <w:color w:val="211C15"/>
                <w:sz w:val="19"/>
              </w:rPr>
              <w:t>660,788</w:t>
            </w:r>
          </w:p>
        </w:tc>
        <w:tc>
          <w:tcPr>
            <w:tcW w:type="dxa" w:w="2592"/>
          </w:tcPr>
          <w:p>
            <w:pPr>
              <w:jc w:val="right"/>
            </w:pPr>
            <w:r>
              <w:rPr>
                <w:color w:val="211C15"/>
                <w:sz w:val="19"/>
              </w:rPr>
              <w:t>729,606</w:t>
            </w:r>
          </w:p>
        </w:tc>
        <w:tc>
          <w:tcPr>
            <w:tcW w:type="dxa" w:w="2016"/>
          </w:tcPr>
          <w:p>
            <w:pPr>
              <w:jc w:val="right"/>
            </w:pPr>
            <w:r>
              <w:rPr>
                <w:color w:val="211C15"/>
                <w:sz w:val="19"/>
              </w:rPr>
              <w:t>+0.83%/yr</w:t>
            </w:r>
          </w:p>
        </w:tc>
      </w:tr>
      <w:tr>
        <w:tc>
          <w:tcPr>
            <w:tcW w:type="dxa" w:w="2880"/>
          </w:tcPr>
          <w:p>
            <w:pPr>
              <w:jc w:val="left"/>
            </w:pPr>
            <w:r>
              <w:rPr>
                <w:color w:val="211C15"/>
                <w:sz w:val="19"/>
              </w:rPr>
              <w:t>Tabuk</w:t>
            </w:r>
          </w:p>
        </w:tc>
        <w:tc>
          <w:tcPr>
            <w:tcW w:type="dxa" w:w="2592"/>
          </w:tcPr>
          <w:p>
            <w:pPr>
              <w:jc w:val="right"/>
            </w:pPr>
            <w:r>
              <w:rPr>
                <w:color w:val="211C15"/>
                <w:sz w:val="19"/>
              </w:rPr>
              <w:t>512,629</w:t>
            </w:r>
          </w:p>
        </w:tc>
        <w:tc>
          <w:tcPr>
            <w:tcW w:type="dxa" w:w="2592"/>
          </w:tcPr>
          <w:p>
            <w:pPr>
              <w:jc w:val="right"/>
            </w:pPr>
            <w:r>
              <w:rPr>
                <w:color w:val="211C15"/>
                <w:sz w:val="19"/>
              </w:rPr>
              <w:t>594,350</w:t>
            </w:r>
          </w:p>
        </w:tc>
        <w:tc>
          <w:tcPr>
            <w:tcW w:type="dxa" w:w="2016"/>
          </w:tcPr>
          <w:p>
            <w:pPr>
              <w:jc w:val="right"/>
            </w:pPr>
            <w:r>
              <w:rPr>
                <w:color w:val="211C15"/>
                <w:sz w:val="19"/>
              </w:rPr>
              <w:t>+1.24%/yr</w:t>
            </w:r>
          </w:p>
        </w:tc>
      </w:tr>
      <w:tr>
        <w:tc>
          <w:tcPr>
            <w:tcW w:type="dxa" w:w="2880"/>
          </w:tcPr>
          <w:p>
            <w:pPr>
              <w:jc w:val="left"/>
            </w:pPr>
            <w:r>
              <w:rPr>
                <w:color w:val="211C15"/>
                <w:sz w:val="19"/>
              </w:rPr>
              <w:t>Buraydah</w:t>
            </w:r>
          </w:p>
        </w:tc>
        <w:tc>
          <w:tcPr>
            <w:tcW w:type="dxa" w:w="2592"/>
          </w:tcPr>
          <w:p>
            <w:pPr>
              <w:jc w:val="right"/>
            </w:pPr>
            <w:r>
              <w:rPr>
                <w:color w:val="211C15"/>
                <w:sz w:val="19"/>
              </w:rPr>
              <w:t>467,410</w:t>
            </w:r>
          </w:p>
        </w:tc>
        <w:tc>
          <w:tcPr>
            <w:tcW w:type="dxa" w:w="2592"/>
          </w:tcPr>
          <w:p>
            <w:pPr>
              <w:jc w:val="right"/>
            </w:pPr>
            <w:r>
              <w:rPr>
                <w:color w:val="211C15"/>
                <w:sz w:val="19"/>
              </w:rPr>
              <w:t>571,169</w:t>
            </w:r>
          </w:p>
        </w:tc>
        <w:tc>
          <w:tcPr>
            <w:tcW w:type="dxa" w:w="2016"/>
          </w:tcPr>
          <w:p>
            <w:pPr>
              <w:jc w:val="right"/>
            </w:pPr>
            <w:r>
              <w:rPr>
                <w:color w:val="211C15"/>
                <w:sz w:val="19"/>
              </w:rPr>
              <w:t>+1.68%/yr</w:t>
            </w:r>
          </w:p>
        </w:tc>
      </w:tr>
      <w:tr>
        <w:tc>
          <w:tcPr>
            <w:tcW w:type="dxa" w:w="2880"/>
          </w:tcPr>
          <w:p>
            <w:pPr>
              <w:jc w:val="left"/>
            </w:pPr>
            <w:r>
              <w:rPr>
                <w:color w:val="211C15"/>
                <w:sz w:val="19"/>
              </w:rPr>
              <w:t>Taif</w:t>
            </w:r>
          </w:p>
        </w:tc>
        <w:tc>
          <w:tcPr>
            <w:tcW w:type="dxa" w:w="2592"/>
          </w:tcPr>
          <w:p>
            <w:pPr>
              <w:jc w:val="right"/>
            </w:pPr>
            <w:r>
              <w:rPr>
                <w:color w:val="211C15"/>
                <w:sz w:val="19"/>
              </w:rPr>
              <w:t>579,970</w:t>
            </w:r>
          </w:p>
        </w:tc>
        <w:tc>
          <w:tcPr>
            <w:tcW w:type="dxa" w:w="2592"/>
          </w:tcPr>
          <w:p>
            <w:pPr>
              <w:jc w:val="right"/>
            </w:pPr>
            <w:r>
              <w:rPr>
                <w:color w:val="211C15"/>
                <w:sz w:val="19"/>
              </w:rPr>
              <w:t>563,282</w:t>
            </w:r>
          </w:p>
        </w:tc>
        <w:tc>
          <w:tcPr>
            <w:tcW w:type="dxa" w:w="2016"/>
          </w:tcPr>
          <w:p>
            <w:pPr>
              <w:jc w:val="right"/>
            </w:pPr>
            <w:r>
              <w:rPr>
                <w:color w:val="211C15"/>
                <w:sz w:val="19"/>
              </w:rPr>
              <w:t>-0.24%/yr</w:t>
            </w:r>
          </w:p>
        </w:tc>
      </w:tr>
      <w:tr>
        <w:tc>
          <w:tcPr>
            <w:tcW w:type="dxa" w:w="2880"/>
          </w:tcPr>
          <w:p>
            <w:pPr>
              <w:jc w:val="left"/>
            </w:pPr>
            <w:r>
              <w:rPr>
                <w:color w:val="211C15"/>
                <w:sz w:val="19"/>
              </w:rPr>
              <w:t>Khamis Mushait</w:t>
            </w:r>
          </w:p>
        </w:tc>
        <w:tc>
          <w:tcPr>
            <w:tcW w:type="dxa" w:w="2592"/>
          </w:tcPr>
          <w:p>
            <w:pPr>
              <w:jc w:val="right"/>
            </w:pPr>
            <w:r>
              <w:rPr>
                <w:color w:val="211C15"/>
                <w:sz w:val="19"/>
              </w:rPr>
              <w:t>430,828</w:t>
            </w:r>
          </w:p>
        </w:tc>
        <w:tc>
          <w:tcPr>
            <w:tcW w:type="dxa" w:w="2592"/>
          </w:tcPr>
          <w:p>
            <w:pPr>
              <w:jc w:val="right"/>
            </w:pPr>
            <w:r>
              <w:rPr>
                <w:color w:val="211C15"/>
                <w:sz w:val="19"/>
              </w:rPr>
              <w:t>535,065</w:t>
            </w:r>
          </w:p>
        </w:tc>
        <w:tc>
          <w:tcPr>
            <w:tcW w:type="dxa" w:w="2016"/>
          </w:tcPr>
          <w:p>
            <w:pPr>
              <w:jc w:val="right"/>
            </w:pPr>
            <w:r>
              <w:rPr>
                <w:color w:val="211C15"/>
                <w:sz w:val="19"/>
              </w:rPr>
              <w:t>+1.82%/yr</w:t>
            </w:r>
          </w:p>
        </w:tc>
      </w:tr>
    </w:tbl>
    <w:p/>
    <w:p>
      <w:pPr>
        <w:pStyle w:val="Heading2"/>
      </w:pPr>
      <w:r>
        <w:t>Foreign-resident share by region, 2022</w:t>
      </w:r>
    </w:p>
    <w:p>
      <w:r>
        <w:t>Riyadh and Makkah regions — home to Riyadh, Jeddah, Mecca and Taif — carry the highest non-Saudi shares, close to half their population. The thirteen regions hold 32.18M people between them.</w:t>
      </w:r>
    </w:p>
    <w:p>
      <w:r>
        <w:drawing>
          <wp:inline xmlns:a="http://schemas.openxmlformats.org/drawingml/2006/main" xmlns:pic="http://schemas.openxmlformats.org/drawingml/2006/picture">
            <wp:extent cx="5760720" cy="3077966"/>
            <wp:docPr id="3" name="Picture 3"/>
            <wp:cNvGraphicFramePr>
              <a:graphicFrameLocks noChangeAspect="1"/>
            </wp:cNvGraphicFramePr>
            <a:graphic>
              <a:graphicData uri="http://schemas.openxmlformats.org/drawingml/2006/picture">
                <pic:pic>
                  <pic:nvPicPr>
                    <pic:cNvPr id="0" name="regions_chart.png"/>
                    <pic:cNvPicPr/>
                  </pic:nvPicPr>
                  <pic:blipFill>
                    <a:blip r:embed="rId11"/>
                    <a:stretch>
                      <a:fillRect/>
                    </a:stretch>
                  </pic:blipFill>
                  <pic:spPr>
                    <a:xfrm>
                      <a:off x="0" y="0"/>
                      <a:ext cx="5760720" cy="3077966"/>
                    </a:xfrm>
                    <a:prstGeom prst="rect"/>
                  </pic:spPr>
                </pic:pic>
              </a:graphicData>
            </a:graphic>
          </wp:inline>
        </w:drawing>
      </w:r>
    </w:p>
    <w:p>
      <w:r>
        <w:rPr>
          <w:b/>
        </w:rPr>
        <w:t>Population by region and nationality, 2022 census</w:t>
      </w:r>
    </w:p>
    <w:tbl>
      <w:tblPr>
        <w:tblStyle w:val="LightGrid-Accent1"/>
        <w:tblW w:type="auto" w:w="0"/>
        <w:jc w:val="left"/>
        <w:tblLook w:firstColumn="1" w:firstRow="1" w:lastColumn="0" w:lastRow="0" w:noHBand="0" w:noVBand="1" w:val="04A0"/>
      </w:tblPr>
      <w:tblGrid>
        <w:gridCol w:w="1949"/>
        <w:gridCol w:w="1949"/>
        <w:gridCol w:w="1949"/>
        <w:gridCol w:w="1949"/>
        <w:gridCol w:w="1949"/>
      </w:tblGrid>
      <w:tr>
        <w:tc>
          <w:tcPr>
            <w:tcW w:type="dxa" w:w="2736"/>
            <w:shd w:fill="211C15"/>
          </w:tcPr>
          <w:p>
            <w:r>
              <w:rPr>
                <w:b/>
                <w:color w:val="FFFFFF"/>
                <w:sz w:val="19"/>
              </w:rPr>
              <w:t>Region</w:t>
            </w:r>
          </w:p>
        </w:tc>
        <w:tc>
          <w:tcPr>
            <w:tcW w:type="dxa" w:w="2016"/>
            <w:shd w:fill="211C15"/>
          </w:tcPr>
          <w:p>
            <w:r>
              <w:rPr>
                <w:b/>
                <w:color w:val="FFFFFF"/>
                <w:sz w:val="19"/>
              </w:rPr>
              <w:t>Saudi</w:t>
            </w:r>
          </w:p>
        </w:tc>
        <w:tc>
          <w:tcPr>
            <w:tcW w:type="dxa" w:w="2016"/>
            <w:shd w:fill="211C15"/>
          </w:tcPr>
          <w:p>
            <w:r>
              <w:rPr>
                <w:b/>
                <w:color w:val="FFFFFF"/>
                <w:sz w:val="19"/>
              </w:rPr>
              <w:t>Non-Saudi</w:t>
            </w:r>
          </w:p>
        </w:tc>
        <w:tc>
          <w:tcPr>
            <w:tcW w:type="dxa" w:w="2016"/>
            <w:shd w:fill="211C15"/>
          </w:tcPr>
          <w:p>
            <w:r>
              <w:rPr>
                <w:b/>
                <w:color w:val="FFFFFF"/>
                <w:sz w:val="19"/>
              </w:rPr>
              <w:t>Total</w:t>
            </w:r>
          </w:p>
        </w:tc>
        <w:tc>
          <w:tcPr>
            <w:tcW w:type="dxa" w:w="1872"/>
            <w:shd w:fill="211C15"/>
          </w:tcPr>
          <w:p>
            <w:r>
              <w:rPr>
                <w:b/>
                <w:color w:val="FFFFFF"/>
                <w:sz w:val="19"/>
              </w:rPr>
              <w:t>Non-Saudi share</w:t>
            </w:r>
          </w:p>
        </w:tc>
      </w:tr>
      <w:tr>
        <w:tc>
          <w:tcPr>
            <w:tcW w:type="dxa" w:w="2736"/>
          </w:tcPr>
          <w:p>
            <w:pPr>
              <w:jc w:val="left"/>
            </w:pPr>
            <w:r>
              <w:rPr>
                <w:color w:val="211C15"/>
                <w:sz w:val="19"/>
              </w:rPr>
              <w:t>Riyadh</w:t>
            </w:r>
          </w:p>
        </w:tc>
        <w:tc>
          <w:tcPr>
            <w:tcW w:type="dxa" w:w="2016"/>
          </w:tcPr>
          <w:p>
            <w:pPr>
              <w:jc w:val="right"/>
            </w:pPr>
            <w:r>
              <w:rPr>
                <w:color w:val="211C15"/>
                <w:sz w:val="19"/>
              </w:rPr>
              <w:t>4,439,210</w:t>
            </w:r>
          </w:p>
        </w:tc>
        <w:tc>
          <w:tcPr>
            <w:tcW w:type="dxa" w:w="2016"/>
          </w:tcPr>
          <w:p>
            <w:pPr>
              <w:jc w:val="right"/>
            </w:pPr>
            <w:r>
              <w:rPr>
                <w:color w:val="211C15"/>
                <w:sz w:val="19"/>
              </w:rPr>
              <w:t>4,152,538</w:t>
            </w:r>
          </w:p>
        </w:tc>
        <w:tc>
          <w:tcPr>
            <w:tcW w:type="dxa" w:w="2016"/>
          </w:tcPr>
          <w:p>
            <w:pPr>
              <w:jc w:val="right"/>
            </w:pPr>
            <w:r>
              <w:rPr>
                <w:color w:val="211C15"/>
                <w:sz w:val="19"/>
              </w:rPr>
              <w:t>8,591,748</w:t>
            </w:r>
          </w:p>
        </w:tc>
        <w:tc>
          <w:tcPr>
            <w:tcW w:type="dxa" w:w="1872"/>
          </w:tcPr>
          <w:p>
            <w:pPr>
              <w:jc w:val="right"/>
            </w:pPr>
            <w:r>
              <w:rPr>
                <w:color w:val="211C15"/>
                <w:sz w:val="19"/>
              </w:rPr>
              <w:t>48.3%</w:t>
            </w:r>
          </w:p>
        </w:tc>
      </w:tr>
      <w:tr>
        <w:tc>
          <w:tcPr>
            <w:tcW w:type="dxa" w:w="2736"/>
          </w:tcPr>
          <w:p>
            <w:pPr>
              <w:jc w:val="left"/>
            </w:pPr>
            <w:r>
              <w:rPr>
                <w:color w:val="211C15"/>
                <w:sz w:val="19"/>
              </w:rPr>
              <w:t>Makkah</w:t>
            </w:r>
          </w:p>
        </w:tc>
        <w:tc>
          <w:tcPr>
            <w:tcW w:type="dxa" w:w="2016"/>
          </w:tcPr>
          <w:p>
            <w:pPr>
              <w:jc w:val="right"/>
            </w:pPr>
            <w:r>
              <w:rPr>
                <w:color w:val="211C15"/>
                <w:sz w:val="19"/>
              </w:rPr>
              <w:t>4,153,723</w:t>
            </w:r>
          </w:p>
        </w:tc>
        <w:tc>
          <w:tcPr>
            <w:tcW w:type="dxa" w:w="2016"/>
          </w:tcPr>
          <w:p>
            <w:pPr>
              <w:jc w:val="right"/>
            </w:pPr>
            <w:r>
              <w:rPr>
                <w:color w:val="211C15"/>
                <w:sz w:val="19"/>
              </w:rPr>
              <w:t>3,867,740</w:t>
            </w:r>
          </w:p>
        </w:tc>
        <w:tc>
          <w:tcPr>
            <w:tcW w:type="dxa" w:w="2016"/>
          </w:tcPr>
          <w:p>
            <w:pPr>
              <w:jc w:val="right"/>
            </w:pPr>
            <w:r>
              <w:rPr>
                <w:color w:val="211C15"/>
                <w:sz w:val="19"/>
              </w:rPr>
              <w:t>8,021,463</w:t>
            </w:r>
          </w:p>
        </w:tc>
        <w:tc>
          <w:tcPr>
            <w:tcW w:type="dxa" w:w="1872"/>
          </w:tcPr>
          <w:p>
            <w:pPr>
              <w:jc w:val="right"/>
            </w:pPr>
            <w:r>
              <w:rPr>
                <w:color w:val="211C15"/>
                <w:sz w:val="19"/>
              </w:rPr>
              <w:t>48.2%</w:t>
            </w:r>
          </w:p>
        </w:tc>
      </w:tr>
      <w:tr>
        <w:tc>
          <w:tcPr>
            <w:tcW w:type="dxa" w:w="2736"/>
          </w:tcPr>
          <w:p>
            <w:pPr>
              <w:jc w:val="left"/>
            </w:pPr>
            <w:r>
              <w:rPr>
                <w:color w:val="211C15"/>
                <w:sz w:val="19"/>
              </w:rPr>
              <w:t>Eastern Region</w:t>
            </w:r>
          </w:p>
        </w:tc>
        <w:tc>
          <w:tcPr>
            <w:tcW w:type="dxa" w:w="2016"/>
          </w:tcPr>
          <w:p>
            <w:pPr>
              <w:jc w:val="right"/>
            </w:pPr>
            <w:r>
              <w:rPr>
                <w:color w:val="211C15"/>
                <w:sz w:val="19"/>
              </w:rPr>
              <w:t>2,949,854</w:t>
            </w:r>
          </w:p>
        </w:tc>
        <w:tc>
          <w:tcPr>
            <w:tcW w:type="dxa" w:w="2016"/>
          </w:tcPr>
          <w:p>
            <w:pPr>
              <w:jc w:val="right"/>
            </w:pPr>
            <w:r>
              <w:rPr>
                <w:color w:val="211C15"/>
                <w:sz w:val="19"/>
              </w:rPr>
              <w:t>2,175,400</w:t>
            </w:r>
          </w:p>
        </w:tc>
        <w:tc>
          <w:tcPr>
            <w:tcW w:type="dxa" w:w="2016"/>
          </w:tcPr>
          <w:p>
            <w:pPr>
              <w:jc w:val="right"/>
            </w:pPr>
            <w:r>
              <w:rPr>
                <w:color w:val="211C15"/>
                <w:sz w:val="19"/>
              </w:rPr>
              <w:t>5,125,254</w:t>
            </w:r>
          </w:p>
        </w:tc>
        <w:tc>
          <w:tcPr>
            <w:tcW w:type="dxa" w:w="1872"/>
          </w:tcPr>
          <w:p>
            <w:pPr>
              <w:jc w:val="right"/>
            </w:pPr>
            <w:r>
              <w:rPr>
                <w:color w:val="211C15"/>
                <w:sz w:val="19"/>
              </w:rPr>
              <w:t>42.4%</w:t>
            </w:r>
          </w:p>
        </w:tc>
      </w:tr>
      <w:tr>
        <w:tc>
          <w:tcPr>
            <w:tcW w:type="dxa" w:w="2736"/>
          </w:tcPr>
          <w:p>
            <w:pPr>
              <w:jc w:val="left"/>
            </w:pPr>
            <w:r>
              <w:rPr>
                <w:color w:val="211C15"/>
                <w:sz w:val="19"/>
              </w:rPr>
              <w:t>Madinah</w:t>
            </w:r>
          </w:p>
        </w:tc>
        <w:tc>
          <w:tcPr>
            <w:tcW w:type="dxa" w:w="2016"/>
          </w:tcPr>
          <w:p>
            <w:pPr>
              <w:jc w:val="right"/>
            </w:pPr>
            <w:r>
              <w:rPr>
                <w:color w:val="211C15"/>
                <w:sz w:val="19"/>
              </w:rPr>
              <w:t>1,352,146</w:t>
            </w:r>
          </w:p>
        </w:tc>
        <w:tc>
          <w:tcPr>
            <w:tcW w:type="dxa" w:w="2016"/>
          </w:tcPr>
          <w:p>
            <w:pPr>
              <w:jc w:val="right"/>
            </w:pPr>
            <w:r>
              <w:rPr>
                <w:color w:val="211C15"/>
                <w:sz w:val="19"/>
              </w:rPr>
              <w:t>785,837</w:t>
            </w:r>
          </w:p>
        </w:tc>
        <w:tc>
          <w:tcPr>
            <w:tcW w:type="dxa" w:w="2016"/>
          </w:tcPr>
          <w:p>
            <w:pPr>
              <w:jc w:val="right"/>
            </w:pPr>
            <w:r>
              <w:rPr>
                <w:color w:val="211C15"/>
                <w:sz w:val="19"/>
              </w:rPr>
              <w:t>2,137,983</w:t>
            </w:r>
          </w:p>
        </w:tc>
        <w:tc>
          <w:tcPr>
            <w:tcW w:type="dxa" w:w="1872"/>
          </w:tcPr>
          <w:p>
            <w:pPr>
              <w:jc w:val="right"/>
            </w:pPr>
            <w:r>
              <w:rPr>
                <w:color w:val="211C15"/>
                <w:sz w:val="19"/>
              </w:rPr>
              <w:t>36.8%</w:t>
            </w:r>
          </w:p>
        </w:tc>
      </w:tr>
      <w:tr>
        <w:tc>
          <w:tcPr>
            <w:tcW w:type="dxa" w:w="2736"/>
          </w:tcPr>
          <w:p>
            <w:pPr>
              <w:jc w:val="left"/>
            </w:pPr>
            <w:r>
              <w:rPr>
                <w:color w:val="211C15"/>
                <w:sz w:val="19"/>
              </w:rPr>
              <w:t>Aseer</w:t>
            </w:r>
          </w:p>
        </w:tc>
        <w:tc>
          <w:tcPr>
            <w:tcW w:type="dxa" w:w="2016"/>
          </w:tcPr>
          <w:p>
            <w:pPr>
              <w:jc w:val="right"/>
            </w:pPr>
            <w:r>
              <w:rPr>
                <w:color w:val="211C15"/>
                <w:sz w:val="19"/>
              </w:rPr>
              <w:t>1,444,688</w:t>
            </w:r>
          </w:p>
        </w:tc>
        <w:tc>
          <w:tcPr>
            <w:tcW w:type="dxa" w:w="2016"/>
          </w:tcPr>
          <w:p>
            <w:pPr>
              <w:jc w:val="right"/>
            </w:pPr>
            <w:r>
              <w:rPr>
                <w:color w:val="211C15"/>
                <w:sz w:val="19"/>
              </w:rPr>
              <w:t>579,597</w:t>
            </w:r>
          </w:p>
        </w:tc>
        <w:tc>
          <w:tcPr>
            <w:tcW w:type="dxa" w:w="2016"/>
          </w:tcPr>
          <w:p>
            <w:pPr>
              <w:jc w:val="right"/>
            </w:pPr>
            <w:r>
              <w:rPr>
                <w:color w:val="211C15"/>
                <w:sz w:val="19"/>
              </w:rPr>
              <w:t>2,024,285</w:t>
            </w:r>
          </w:p>
        </w:tc>
        <w:tc>
          <w:tcPr>
            <w:tcW w:type="dxa" w:w="1872"/>
          </w:tcPr>
          <w:p>
            <w:pPr>
              <w:jc w:val="right"/>
            </w:pPr>
            <w:r>
              <w:rPr>
                <w:color w:val="211C15"/>
                <w:sz w:val="19"/>
              </w:rPr>
              <w:t>28.6%</w:t>
            </w:r>
          </w:p>
        </w:tc>
      </w:tr>
      <w:tr>
        <w:tc>
          <w:tcPr>
            <w:tcW w:type="dxa" w:w="2736"/>
          </w:tcPr>
          <w:p>
            <w:pPr>
              <w:jc w:val="left"/>
            </w:pPr>
            <w:r>
              <w:rPr>
                <w:color w:val="211C15"/>
                <w:sz w:val="19"/>
              </w:rPr>
              <w:t>Jazan</w:t>
            </w:r>
          </w:p>
        </w:tc>
        <w:tc>
          <w:tcPr>
            <w:tcW w:type="dxa" w:w="2016"/>
          </w:tcPr>
          <w:p>
            <w:pPr>
              <w:jc w:val="right"/>
            </w:pPr>
            <w:r>
              <w:rPr>
                <w:color w:val="211C15"/>
                <w:sz w:val="19"/>
              </w:rPr>
              <w:t>1,002,779</w:t>
            </w:r>
          </w:p>
        </w:tc>
        <w:tc>
          <w:tcPr>
            <w:tcW w:type="dxa" w:w="2016"/>
          </w:tcPr>
          <w:p>
            <w:pPr>
              <w:jc w:val="right"/>
            </w:pPr>
            <w:r>
              <w:rPr>
                <w:color w:val="211C15"/>
                <w:sz w:val="19"/>
              </w:rPr>
              <w:t>402,218</w:t>
            </w:r>
          </w:p>
        </w:tc>
        <w:tc>
          <w:tcPr>
            <w:tcW w:type="dxa" w:w="2016"/>
          </w:tcPr>
          <w:p>
            <w:pPr>
              <w:jc w:val="right"/>
            </w:pPr>
            <w:r>
              <w:rPr>
                <w:color w:val="211C15"/>
                <w:sz w:val="19"/>
              </w:rPr>
              <w:t>1,404,997</w:t>
            </w:r>
          </w:p>
        </w:tc>
        <w:tc>
          <w:tcPr>
            <w:tcW w:type="dxa" w:w="1872"/>
          </w:tcPr>
          <w:p>
            <w:pPr>
              <w:jc w:val="right"/>
            </w:pPr>
            <w:r>
              <w:rPr>
                <w:color w:val="211C15"/>
                <w:sz w:val="19"/>
              </w:rPr>
              <w:t>28.6%</w:t>
            </w:r>
          </w:p>
        </w:tc>
      </w:tr>
      <w:tr>
        <w:tc>
          <w:tcPr>
            <w:tcW w:type="dxa" w:w="2736"/>
          </w:tcPr>
          <w:p>
            <w:pPr>
              <w:jc w:val="left"/>
            </w:pPr>
            <w:r>
              <w:rPr>
                <w:color w:val="211C15"/>
                <w:sz w:val="19"/>
              </w:rPr>
              <w:t>Qassim</w:t>
            </w:r>
          </w:p>
        </w:tc>
        <w:tc>
          <w:tcPr>
            <w:tcW w:type="dxa" w:w="2016"/>
          </w:tcPr>
          <w:p>
            <w:pPr>
              <w:jc w:val="right"/>
            </w:pPr>
            <w:r>
              <w:rPr>
                <w:color w:val="211C15"/>
                <w:sz w:val="19"/>
              </w:rPr>
              <w:t>926,490</w:t>
            </w:r>
          </w:p>
        </w:tc>
        <w:tc>
          <w:tcPr>
            <w:tcW w:type="dxa" w:w="2016"/>
          </w:tcPr>
          <w:p>
            <w:pPr>
              <w:jc w:val="right"/>
            </w:pPr>
            <w:r>
              <w:rPr>
                <w:color w:val="211C15"/>
                <w:sz w:val="19"/>
              </w:rPr>
              <w:t>409,689</w:t>
            </w:r>
          </w:p>
        </w:tc>
        <w:tc>
          <w:tcPr>
            <w:tcW w:type="dxa" w:w="2016"/>
          </w:tcPr>
          <w:p>
            <w:pPr>
              <w:jc w:val="right"/>
            </w:pPr>
            <w:r>
              <w:rPr>
                <w:color w:val="211C15"/>
                <w:sz w:val="19"/>
              </w:rPr>
              <w:t>1,336,179</w:t>
            </w:r>
          </w:p>
        </w:tc>
        <w:tc>
          <w:tcPr>
            <w:tcW w:type="dxa" w:w="1872"/>
          </w:tcPr>
          <w:p>
            <w:pPr>
              <w:jc w:val="right"/>
            </w:pPr>
            <w:r>
              <w:rPr>
                <w:color w:val="211C15"/>
                <w:sz w:val="19"/>
              </w:rPr>
              <w:t>30.7%</w:t>
            </w:r>
          </w:p>
        </w:tc>
      </w:tr>
      <w:tr>
        <w:tc>
          <w:tcPr>
            <w:tcW w:type="dxa" w:w="2736"/>
          </w:tcPr>
          <w:p>
            <w:pPr>
              <w:jc w:val="left"/>
            </w:pPr>
            <w:r>
              <w:rPr>
                <w:color w:val="211C15"/>
                <w:sz w:val="19"/>
              </w:rPr>
              <w:t>Tabuk</w:t>
            </w:r>
          </w:p>
        </w:tc>
        <w:tc>
          <w:tcPr>
            <w:tcW w:type="dxa" w:w="2016"/>
          </w:tcPr>
          <w:p>
            <w:pPr>
              <w:jc w:val="right"/>
            </w:pPr>
            <w:r>
              <w:rPr>
                <w:color w:val="211C15"/>
                <w:sz w:val="19"/>
              </w:rPr>
              <w:t>637,601</w:t>
            </w:r>
          </w:p>
        </w:tc>
        <w:tc>
          <w:tcPr>
            <w:tcW w:type="dxa" w:w="2016"/>
          </w:tcPr>
          <w:p>
            <w:pPr>
              <w:jc w:val="right"/>
            </w:pPr>
            <w:r>
              <w:rPr>
                <w:color w:val="211C15"/>
                <w:sz w:val="19"/>
              </w:rPr>
              <w:t>248,435</w:t>
            </w:r>
          </w:p>
        </w:tc>
        <w:tc>
          <w:tcPr>
            <w:tcW w:type="dxa" w:w="2016"/>
          </w:tcPr>
          <w:p>
            <w:pPr>
              <w:jc w:val="right"/>
            </w:pPr>
            <w:r>
              <w:rPr>
                <w:color w:val="211C15"/>
                <w:sz w:val="19"/>
              </w:rPr>
              <w:t>886,036</w:t>
            </w:r>
          </w:p>
        </w:tc>
        <w:tc>
          <w:tcPr>
            <w:tcW w:type="dxa" w:w="1872"/>
          </w:tcPr>
          <w:p>
            <w:pPr>
              <w:jc w:val="right"/>
            </w:pPr>
            <w:r>
              <w:rPr>
                <w:color w:val="211C15"/>
                <w:sz w:val="19"/>
              </w:rPr>
              <w:t>28.0%</w:t>
            </w:r>
          </w:p>
        </w:tc>
      </w:tr>
      <w:tr>
        <w:tc>
          <w:tcPr>
            <w:tcW w:type="dxa" w:w="2736"/>
          </w:tcPr>
          <w:p>
            <w:pPr>
              <w:jc w:val="left"/>
            </w:pPr>
            <w:r>
              <w:rPr>
                <w:color w:val="211C15"/>
                <w:sz w:val="19"/>
              </w:rPr>
              <w:t>Hail</w:t>
            </w:r>
          </w:p>
        </w:tc>
        <w:tc>
          <w:tcPr>
            <w:tcW w:type="dxa" w:w="2016"/>
          </w:tcPr>
          <w:p>
            <w:pPr>
              <w:jc w:val="right"/>
            </w:pPr>
            <w:r>
              <w:rPr>
                <w:color w:val="211C15"/>
                <w:sz w:val="19"/>
              </w:rPr>
              <w:t>527,885</w:t>
            </w:r>
          </w:p>
        </w:tc>
        <w:tc>
          <w:tcPr>
            <w:tcW w:type="dxa" w:w="2016"/>
          </w:tcPr>
          <w:p>
            <w:pPr>
              <w:jc w:val="right"/>
            </w:pPr>
            <w:r>
              <w:rPr>
                <w:color w:val="211C15"/>
                <w:sz w:val="19"/>
              </w:rPr>
              <w:t>218,521</w:t>
            </w:r>
          </w:p>
        </w:tc>
        <w:tc>
          <w:tcPr>
            <w:tcW w:type="dxa" w:w="2016"/>
          </w:tcPr>
          <w:p>
            <w:pPr>
              <w:jc w:val="right"/>
            </w:pPr>
            <w:r>
              <w:rPr>
                <w:color w:val="211C15"/>
                <w:sz w:val="19"/>
              </w:rPr>
              <w:t>746,406</w:t>
            </w:r>
          </w:p>
        </w:tc>
        <w:tc>
          <w:tcPr>
            <w:tcW w:type="dxa" w:w="1872"/>
          </w:tcPr>
          <w:p>
            <w:pPr>
              <w:jc w:val="right"/>
            </w:pPr>
            <w:r>
              <w:rPr>
                <w:color w:val="211C15"/>
                <w:sz w:val="19"/>
              </w:rPr>
              <w:t>29.3%</w:t>
            </w:r>
          </w:p>
        </w:tc>
      </w:tr>
      <w:tr>
        <w:tc>
          <w:tcPr>
            <w:tcW w:type="dxa" w:w="2736"/>
          </w:tcPr>
          <w:p>
            <w:pPr>
              <w:jc w:val="left"/>
            </w:pPr>
            <w:r>
              <w:rPr>
                <w:color w:val="211C15"/>
                <w:sz w:val="19"/>
              </w:rPr>
              <w:t>Al Jawf</w:t>
            </w:r>
          </w:p>
        </w:tc>
        <w:tc>
          <w:tcPr>
            <w:tcW w:type="dxa" w:w="2016"/>
          </w:tcPr>
          <w:p>
            <w:pPr>
              <w:jc w:val="right"/>
            </w:pPr>
            <w:r>
              <w:rPr>
                <w:color w:val="211C15"/>
                <w:sz w:val="19"/>
              </w:rPr>
              <w:t>440,264</w:t>
            </w:r>
          </w:p>
        </w:tc>
        <w:tc>
          <w:tcPr>
            <w:tcW w:type="dxa" w:w="2016"/>
          </w:tcPr>
          <w:p>
            <w:pPr>
              <w:jc w:val="right"/>
            </w:pPr>
            <w:r>
              <w:rPr>
                <w:color w:val="211C15"/>
                <w:sz w:val="19"/>
              </w:rPr>
              <w:t>155,558</w:t>
            </w:r>
          </w:p>
        </w:tc>
        <w:tc>
          <w:tcPr>
            <w:tcW w:type="dxa" w:w="2016"/>
          </w:tcPr>
          <w:p>
            <w:pPr>
              <w:jc w:val="right"/>
            </w:pPr>
            <w:r>
              <w:rPr>
                <w:color w:val="211C15"/>
                <w:sz w:val="19"/>
              </w:rPr>
              <w:t>595,822</w:t>
            </w:r>
          </w:p>
        </w:tc>
        <w:tc>
          <w:tcPr>
            <w:tcW w:type="dxa" w:w="1872"/>
          </w:tcPr>
          <w:p>
            <w:pPr>
              <w:jc w:val="right"/>
            </w:pPr>
            <w:r>
              <w:rPr>
                <w:color w:val="211C15"/>
                <w:sz w:val="19"/>
              </w:rPr>
              <w:t>26.1%</w:t>
            </w:r>
          </w:p>
        </w:tc>
      </w:tr>
      <w:tr>
        <w:tc>
          <w:tcPr>
            <w:tcW w:type="dxa" w:w="2736"/>
          </w:tcPr>
          <w:p>
            <w:pPr>
              <w:jc w:val="left"/>
            </w:pPr>
            <w:r>
              <w:rPr>
                <w:color w:val="211C15"/>
                <w:sz w:val="19"/>
              </w:rPr>
              <w:t>Najran</w:t>
            </w:r>
          </w:p>
        </w:tc>
        <w:tc>
          <w:tcPr>
            <w:tcW w:type="dxa" w:w="2016"/>
          </w:tcPr>
          <w:p>
            <w:pPr>
              <w:jc w:val="right"/>
            </w:pPr>
            <w:r>
              <w:rPr>
                <w:color w:val="211C15"/>
                <w:sz w:val="19"/>
              </w:rPr>
              <w:t>394,976</w:t>
            </w:r>
          </w:p>
        </w:tc>
        <w:tc>
          <w:tcPr>
            <w:tcW w:type="dxa" w:w="2016"/>
          </w:tcPr>
          <w:p>
            <w:pPr>
              <w:jc w:val="right"/>
            </w:pPr>
            <w:r>
              <w:rPr>
                <w:color w:val="211C15"/>
                <w:sz w:val="19"/>
              </w:rPr>
              <w:t>197,324</w:t>
            </w:r>
          </w:p>
        </w:tc>
        <w:tc>
          <w:tcPr>
            <w:tcW w:type="dxa" w:w="2016"/>
          </w:tcPr>
          <w:p>
            <w:pPr>
              <w:jc w:val="right"/>
            </w:pPr>
            <w:r>
              <w:rPr>
                <w:color w:val="211C15"/>
                <w:sz w:val="19"/>
              </w:rPr>
              <w:t>592,300</w:t>
            </w:r>
          </w:p>
        </w:tc>
        <w:tc>
          <w:tcPr>
            <w:tcW w:type="dxa" w:w="1872"/>
          </w:tcPr>
          <w:p>
            <w:pPr>
              <w:jc w:val="right"/>
            </w:pPr>
            <w:r>
              <w:rPr>
                <w:color w:val="211C15"/>
                <w:sz w:val="19"/>
              </w:rPr>
              <w:t>33.3%</w:t>
            </w:r>
          </w:p>
        </w:tc>
      </w:tr>
      <w:tr>
        <w:tc>
          <w:tcPr>
            <w:tcW w:type="dxa" w:w="2736"/>
          </w:tcPr>
          <w:p>
            <w:pPr>
              <w:jc w:val="left"/>
            </w:pPr>
            <w:r>
              <w:rPr>
                <w:color w:val="211C15"/>
                <w:sz w:val="19"/>
              </w:rPr>
              <w:t>Northern Borders</w:t>
            </w:r>
          </w:p>
        </w:tc>
        <w:tc>
          <w:tcPr>
            <w:tcW w:type="dxa" w:w="2016"/>
          </w:tcPr>
          <w:p>
            <w:pPr>
              <w:jc w:val="right"/>
            </w:pPr>
            <w:r>
              <w:rPr>
                <w:color w:val="211C15"/>
                <w:sz w:val="19"/>
              </w:rPr>
              <w:t>271,358</w:t>
            </w:r>
          </w:p>
        </w:tc>
        <w:tc>
          <w:tcPr>
            <w:tcW w:type="dxa" w:w="2016"/>
          </w:tcPr>
          <w:p>
            <w:pPr>
              <w:jc w:val="right"/>
            </w:pPr>
            <w:r>
              <w:rPr>
                <w:color w:val="211C15"/>
                <w:sz w:val="19"/>
              </w:rPr>
              <w:t>102,219</w:t>
            </w:r>
          </w:p>
        </w:tc>
        <w:tc>
          <w:tcPr>
            <w:tcW w:type="dxa" w:w="2016"/>
          </w:tcPr>
          <w:p>
            <w:pPr>
              <w:jc w:val="right"/>
            </w:pPr>
            <w:r>
              <w:rPr>
                <w:color w:val="211C15"/>
                <w:sz w:val="19"/>
              </w:rPr>
              <w:t>373,577</w:t>
            </w:r>
          </w:p>
        </w:tc>
        <w:tc>
          <w:tcPr>
            <w:tcW w:type="dxa" w:w="1872"/>
          </w:tcPr>
          <w:p>
            <w:pPr>
              <w:jc w:val="right"/>
            </w:pPr>
            <w:r>
              <w:rPr>
                <w:color w:val="211C15"/>
                <w:sz w:val="19"/>
              </w:rPr>
              <w:t>27.4%</w:t>
            </w:r>
          </w:p>
        </w:tc>
      </w:tr>
      <w:tr>
        <w:tc>
          <w:tcPr>
            <w:tcW w:type="dxa" w:w="2736"/>
          </w:tcPr>
          <w:p>
            <w:pPr>
              <w:jc w:val="left"/>
            </w:pPr>
            <w:r>
              <w:rPr>
                <w:color w:val="211C15"/>
                <w:sz w:val="19"/>
              </w:rPr>
              <w:t>Al Bahah</w:t>
            </w:r>
          </w:p>
        </w:tc>
        <w:tc>
          <w:tcPr>
            <w:tcW w:type="dxa" w:w="2016"/>
          </w:tcPr>
          <w:p>
            <w:pPr>
              <w:jc w:val="right"/>
            </w:pPr>
            <w:r>
              <w:rPr>
                <w:color w:val="211C15"/>
                <w:sz w:val="19"/>
              </w:rPr>
              <w:t>251,288</w:t>
            </w:r>
          </w:p>
        </w:tc>
        <w:tc>
          <w:tcPr>
            <w:tcW w:type="dxa" w:w="2016"/>
          </w:tcPr>
          <w:p>
            <w:pPr>
              <w:jc w:val="right"/>
            </w:pPr>
            <w:r>
              <w:rPr>
                <w:color w:val="211C15"/>
                <w:sz w:val="19"/>
              </w:rPr>
              <w:t>87,886</w:t>
            </w:r>
          </w:p>
        </w:tc>
        <w:tc>
          <w:tcPr>
            <w:tcW w:type="dxa" w:w="2016"/>
          </w:tcPr>
          <w:p>
            <w:pPr>
              <w:jc w:val="right"/>
            </w:pPr>
            <w:r>
              <w:rPr>
                <w:color w:val="211C15"/>
                <w:sz w:val="19"/>
              </w:rPr>
              <w:t>339,174</w:t>
            </w:r>
          </w:p>
        </w:tc>
        <w:tc>
          <w:tcPr>
            <w:tcW w:type="dxa" w:w="1872"/>
          </w:tcPr>
          <w:p>
            <w:pPr>
              <w:jc w:val="right"/>
            </w:pPr>
            <w:r>
              <w:rPr>
                <w:color w:val="211C15"/>
                <w:sz w:val="19"/>
              </w:rPr>
              <w:t>25.9%</w:t>
            </w:r>
          </w:p>
        </w:tc>
      </w:tr>
    </w:tbl>
    <w:p>
      <w:r>
        <w:br w:type="page"/>
      </w:r>
    </w:p>
    <w:p>
      <w:pPr>
        <w:pStyle w:val="Heading1"/>
      </w:pPr>
      <w:r>
        <w:t>03 — Faith</w:t>
      </w:r>
    </w:p>
    <w:p>
      <w:r>
        <w:t>Saudi Arabia's census does not ask about religion, so no official breakdown exists. The figures below are third-party demographic estimates (Pew Research / ARDA-style modeling), shown as an approximate picture rather than a census fact.</w:t>
      </w:r>
    </w:p>
    <w:p>
      <w:r>
        <w:rPr>
          <w:rFonts w:ascii="Georgia" w:hAnsi="Georgia"/>
          <w:color w:val="211C15"/>
          <w:sz w:val="32"/>
        </w:rPr>
        <w:t>~93% of residents are estimated to be Muslim</w:t>
      </w:r>
    </w:p>
    <w:p>
      <w:r>
        <w:drawing>
          <wp:inline xmlns:a="http://schemas.openxmlformats.org/drawingml/2006/main" xmlns:pic="http://schemas.openxmlformats.org/drawingml/2006/picture">
            <wp:extent cx="5760720" cy="870807"/>
            <wp:docPr id="4" name="Picture 4"/>
            <wp:cNvGraphicFramePr>
              <a:graphicFrameLocks noChangeAspect="1"/>
            </wp:cNvGraphicFramePr>
            <a:graphic>
              <a:graphicData uri="http://schemas.openxmlformats.org/drawingml/2006/picture">
                <pic:pic>
                  <pic:nvPicPr>
                    <pic:cNvPr id="0" name="faith_chart.png"/>
                    <pic:cNvPicPr/>
                  </pic:nvPicPr>
                  <pic:blipFill>
                    <a:blip r:embed="rId12"/>
                    <a:stretch>
                      <a:fillRect/>
                    </a:stretch>
                  </pic:blipFill>
                  <pic:spPr>
                    <a:xfrm>
                      <a:off x="0" y="0"/>
                      <a:ext cx="5760720" cy="870807"/>
                    </a:xfrm>
                    <a:prstGeom prst="rect"/>
                  </pic:spPr>
                </pic:pic>
              </a:graphicData>
            </a:graphic>
          </wp:inline>
        </w:drawing>
      </w:r>
    </w:p>
    <w:tbl>
      <w:tblPr>
        <w:tblStyle w:val="LightGrid-Accent1"/>
        <w:tblW w:type="auto" w:w="0"/>
        <w:jc w:val="left"/>
        <w:tblLook w:firstColumn="1" w:firstRow="1" w:lastColumn="0" w:lastRow="0" w:noHBand="0" w:noVBand="1" w:val="04A0"/>
      </w:tblPr>
      <w:tblGrid>
        <w:gridCol w:w="4873"/>
        <w:gridCol w:w="4873"/>
      </w:tblGrid>
      <w:tr>
        <w:tc>
          <w:tcPr>
            <w:tcW w:type="dxa" w:w="5040"/>
            <w:shd w:fill="211C15"/>
          </w:tcPr>
          <w:p>
            <w:r>
              <w:rPr>
                <w:b/>
                <w:color w:val="FFFFFF"/>
                <w:sz w:val="19"/>
              </w:rPr>
              <w:t>Group</w:t>
            </w:r>
          </w:p>
        </w:tc>
        <w:tc>
          <w:tcPr>
            <w:tcW w:type="dxa" w:w="2160"/>
            <w:shd w:fill="211C15"/>
          </w:tcPr>
          <w:p>
            <w:r>
              <w:rPr>
                <w:b/>
                <w:color w:val="FFFFFF"/>
                <w:sz w:val="19"/>
              </w:rPr>
              <w:t>Estimated share</w:t>
            </w:r>
          </w:p>
        </w:tc>
      </w:tr>
      <w:tr>
        <w:tc>
          <w:tcPr>
            <w:tcW w:type="dxa" w:w="5040"/>
          </w:tcPr>
          <w:p>
            <w:pPr>
              <w:jc w:val="left"/>
            </w:pPr>
            <w:r>
              <w:rPr>
                <w:color w:val="211C15"/>
                <w:sz w:val="19"/>
              </w:rPr>
              <w:t>Muslim</w:t>
            </w:r>
          </w:p>
        </w:tc>
        <w:tc>
          <w:tcPr>
            <w:tcW w:type="dxa" w:w="2160"/>
          </w:tcPr>
          <w:p>
            <w:pPr>
              <w:jc w:val="right"/>
            </w:pPr>
            <w:r>
              <w:rPr>
                <w:color w:val="211C15"/>
                <w:sz w:val="19"/>
              </w:rPr>
              <w:t>93.0%</w:t>
            </w:r>
          </w:p>
        </w:tc>
      </w:tr>
      <w:tr>
        <w:tc>
          <w:tcPr>
            <w:tcW w:type="dxa" w:w="5040"/>
          </w:tcPr>
          <w:p>
            <w:pPr>
              <w:jc w:val="left"/>
            </w:pPr>
            <w:r>
              <w:rPr>
                <w:color w:val="211C15"/>
                <w:sz w:val="19"/>
              </w:rPr>
              <w:t>Christian</w:t>
            </w:r>
          </w:p>
        </w:tc>
        <w:tc>
          <w:tcPr>
            <w:tcW w:type="dxa" w:w="2160"/>
          </w:tcPr>
          <w:p>
            <w:pPr>
              <w:jc w:val="right"/>
            </w:pPr>
            <w:r>
              <w:rPr>
                <w:color w:val="211C15"/>
                <w:sz w:val="19"/>
              </w:rPr>
              <w:t>4.4%</w:t>
            </w:r>
          </w:p>
        </w:tc>
      </w:tr>
      <w:tr>
        <w:tc>
          <w:tcPr>
            <w:tcW w:type="dxa" w:w="5040"/>
          </w:tcPr>
          <w:p>
            <w:pPr>
              <w:jc w:val="left"/>
            </w:pPr>
            <w:r>
              <w:rPr>
                <w:color w:val="211C15"/>
                <w:sz w:val="19"/>
              </w:rPr>
              <w:t>Hindu</w:t>
            </w:r>
          </w:p>
        </w:tc>
        <w:tc>
          <w:tcPr>
            <w:tcW w:type="dxa" w:w="2160"/>
          </w:tcPr>
          <w:p>
            <w:pPr>
              <w:jc w:val="right"/>
            </w:pPr>
            <w:r>
              <w:rPr>
                <w:color w:val="211C15"/>
                <w:sz w:val="19"/>
              </w:rPr>
              <w:t>1.1%</w:t>
            </w:r>
          </w:p>
        </w:tc>
      </w:tr>
      <w:tr>
        <w:tc>
          <w:tcPr>
            <w:tcW w:type="dxa" w:w="5040"/>
          </w:tcPr>
          <w:p>
            <w:pPr>
              <w:jc w:val="left"/>
            </w:pPr>
            <w:r>
              <w:rPr>
                <w:color w:val="211C15"/>
                <w:sz w:val="19"/>
              </w:rPr>
              <w:t>Unaffiliated</w:t>
            </w:r>
          </w:p>
        </w:tc>
        <w:tc>
          <w:tcPr>
            <w:tcW w:type="dxa" w:w="2160"/>
          </w:tcPr>
          <w:p>
            <w:pPr>
              <w:jc w:val="right"/>
            </w:pPr>
            <w:r>
              <w:rPr>
                <w:color w:val="211C15"/>
                <w:sz w:val="19"/>
              </w:rPr>
              <w:t>0.7%</w:t>
            </w:r>
          </w:p>
        </w:tc>
      </w:tr>
      <w:tr>
        <w:tc>
          <w:tcPr>
            <w:tcW w:type="dxa" w:w="5040"/>
          </w:tcPr>
          <w:p>
            <w:pPr>
              <w:jc w:val="left"/>
            </w:pPr>
            <w:r>
              <w:rPr>
                <w:color w:val="211C15"/>
                <w:sz w:val="19"/>
              </w:rPr>
              <w:t>Folk / traditional</w:t>
            </w:r>
          </w:p>
        </w:tc>
        <w:tc>
          <w:tcPr>
            <w:tcW w:type="dxa" w:w="2160"/>
          </w:tcPr>
          <w:p>
            <w:pPr>
              <w:jc w:val="right"/>
            </w:pPr>
            <w:r>
              <w:rPr>
                <w:color w:val="211C15"/>
                <w:sz w:val="19"/>
              </w:rPr>
              <w:t>0.3%</w:t>
            </w:r>
          </w:p>
        </w:tc>
      </w:tr>
      <w:tr>
        <w:tc>
          <w:tcPr>
            <w:tcW w:type="dxa" w:w="5040"/>
          </w:tcPr>
          <w:p>
            <w:pPr>
              <w:jc w:val="left"/>
            </w:pPr>
            <w:r>
              <w:rPr>
                <w:color w:val="211C15"/>
                <w:sz w:val="19"/>
              </w:rPr>
              <w:t>Other (incl. Buddhist)</w:t>
            </w:r>
          </w:p>
        </w:tc>
        <w:tc>
          <w:tcPr>
            <w:tcW w:type="dxa" w:w="2160"/>
          </w:tcPr>
          <w:p>
            <w:pPr>
              <w:jc w:val="right"/>
            </w:pPr>
            <w:r>
              <w:rPr>
                <w:color w:val="211C15"/>
                <w:sz w:val="19"/>
              </w:rPr>
              <w:t>0.5%</w:t>
            </w:r>
          </w:p>
        </w:tc>
      </w:tr>
    </w:tbl>
    <w:p>
      <w:r>
        <w:rPr>
          <w:i/>
          <w:color w:val="5B5346"/>
          <w:sz w:val="19"/>
        </w:rPr>
        <w:t>Among Saudi citizens specifically, an estimated 85–90% are Sunni and 10–15% Shia (mostly Twelver, concentrated in the Eastern Province), plus small Ismaili and Zaydi communities. Nearly all Christians, Hindus and Buddhists in the Kingdom are foreign workers on residency permits, not citizens — Hindu residents in particular track closely with the South Asian labor migration visible in the regional table above.</w:t>
      </w:r>
    </w:p>
    <w:p>
      <w:r>
        <w:br w:type="page"/>
      </w:r>
    </w:p>
    <w:p>
      <w:pPr>
        <w:pStyle w:val="Heading1"/>
      </w:pPr>
      <w:r>
        <w:t>04 — Economic Development</w:t>
      </w:r>
    </w:p>
    <w:p>
      <w:r>
        <w:t>Annual real GDP growth, 2010–2025. Swings before 2021 track oil output and price almost one-for-one; growth since 2023 leans increasingly on non-oil activity — construction, tourism and logistics — a deliberate Vision 2030 target rather than a market accident.</w:t>
      </w:r>
    </w:p>
    <w:p>
      <w:r>
        <w:drawing>
          <wp:inline xmlns:a="http://schemas.openxmlformats.org/drawingml/2006/main" xmlns:pic="http://schemas.openxmlformats.org/drawingml/2006/picture">
            <wp:extent cx="5760720" cy="2277494"/>
            <wp:docPr id="5" name="Picture 5"/>
            <wp:cNvGraphicFramePr>
              <a:graphicFrameLocks noChangeAspect="1"/>
            </wp:cNvGraphicFramePr>
            <a:graphic>
              <a:graphicData uri="http://schemas.openxmlformats.org/drawingml/2006/picture">
                <pic:pic>
                  <pic:nvPicPr>
                    <pic:cNvPr id="0" name="gdp_chart.png"/>
                    <pic:cNvPicPr/>
                  </pic:nvPicPr>
                  <pic:blipFill>
                    <a:blip r:embed="rId13"/>
                    <a:stretch>
                      <a:fillRect/>
                    </a:stretch>
                  </pic:blipFill>
                  <pic:spPr>
                    <a:xfrm>
                      <a:off x="0" y="0"/>
                      <a:ext cx="5760720" cy="2277494"/>
                    </a:xfrm>
                    <a:prstGeom prst="rect"/>
                  </pic:spPr>
                </pic:pic>
              </a:graphicData>
            </a:graphic>
          </wp:inline>
        </w:drawing>
      </w:r>
    </w:p>
    <w:p>
      <w:r>
        <w:rPr>
          <w:b/>
        </w:rPr>
        <w:t>Real GDP growth, 2010–2025</w:t>
      </w:r>
    </w:p>
    <w:tbl>
      <w:tblPr>
        <w:tblStyle w:val="LightGrid-Accent1"/>
        <w:tblW w:type="auto" w:w="0"/>
        <w:jc w:val="left"/>
        <w:tblLook w:firstColumn="1" w:firstRow="1" w:lastColumn="0" w:lastRow="0" w:noHBand="0" w:noVBand="1" w:val="04A0"/>
      </w:tblPr>
      <w:tblGrid>
        <w:gridCol w:w="4873"/>
        <w:gridCol w:w="4873"/>
      </w:tblGrid>
      <w:tr>
        <w:tc>
          <w:tcPr>
            <w:tcW w:type="dxa" w:w="2160"/>
            <w:shd w:fill="211C15"/>
          </w:tcPr>
          <w:p>
            <w:r>
              <w:rPr>
                <w:b/>
                <w:color w:val="FFFFFF"/>
                <w:sz w:val="19"/>
              </w:rPr>
              <w:t>Year</w:t>
            </w:r>
          </w:p>
        </w:tc>
        <w:tc>
          <w:tcPr>
            <w:tcW w:type="dxa" w:w="2880"/>
            <w:shd w:fill="211C15"/>
          </w:tcPr>
          <w:p>
            <w:r>
              <w:rPr>
                <w:b/>
                <w:color w:val="FFFFFF"/>
                <w:sz w:val="19"/>
              </w:rPr>
              <w:t>Real GDP growth</w:t>
            </w:r>
          </w:p>
        </w:tc>
      </w:tr>
      <w:tr>
        <w:tc>
          <w:tcPr>
            <w:tcW w:type="dxa" w:w="2160"/>
          </w:tcPr>
          <w:p>
            <w:pPr>
              <w:jc w:val="left"/>
            </w:pPr>
            <w:r>
              <w:rPr>
                <w:color w:val="211C15"/>
                <w:sz w:val="19"/>
              </w:rPr>
              <w:t>2010</w:t>
            </w:r>
          </w:p>
        </w:tc>
        <w:tc>
          <w:tcPr>
            <w:tcW w:type="dxa" w:w="2880"/>
          </w:tcPr>
          <w:p>
            <w:pPr>
              <w:jc w:val="right"/>
            </w:pPr>
            <w:r>
              <w:rPr>
                <w:color w:val="211C15"/>
                <w:sz w:val="19"/>
              </w:rPr>
              <w:t>+5.04%</w:t>
            </w:r>
          </w:p>
        </w:tc>
      </w:tr>
      <w:tr>
        <w:tc>
          <w:tcPr>
            <w:tcW w:type="dxa" w:w="2160"/>
          </w:tcPr>
          <w:p>
            <w:pPr>
              <w:jc w:val="left"/>
            </w:pPr>
            <w:r>
              <w:rPr>
                <w:color w:val="211C15"/>
                <w:sz w:val="19"/>
              </w:rPr>
              <w:t>2011</w:t>
            </w:r>
          </w:p>
        </w:tc>
        <w:tc>
          <w:tcPr>
            <w:tcW w:type="dxa" w:w="2880"/>
          </w:tcPr>
          <w:p>
            <w:pPr>
              <w:jc w:val="right"/>
            </w:pPr>
            <w:r>
              <w:rPr>
                <w:color w:val="211C15"/>
                <w:sz w:val="19"/>
              </w:rPr>
              <w:t>+11.76%</w:t>
            </w:r>
          </w:p>
        </w:tc>
      </w:tr>
      <w:tr>
        <w:tc>
          <w:tcPr>
            <w:tcW w:type="dxa" w:w="2160"/>
          </w:tcPr>
          <w:p>
            <w:pPr>
              <w:jc w:val="left"/>
            </w:pPr>
            <w:r>
              <w:rPr>
                <w:color w:val="211C15"/>
                <w:sz w:val="19"/>
              </w:rPr>
              <w:t>2012</w:t>
            </w:r>
          </w:p>
        </w:tc>
        <w:tc>
          <w:tcPr>
            <w:tcW w:type="dxa" w:w="2880"/>
          </w:tcPr>
          <w:p>
            <w:pPr>
              <w:jc w:val="right"/>
            </w:pPr>
            <w:r>
              <w:rPr>
                <w:color w:val="211C15"/>
                <w:sz w:val="19"/>
              </w:rPr>
              <w:t>+5.76%</w:t>
            </w:r>
          </w:p>
        </w:tc>
      </w:tr>
      <w:tr>
        <w:tc>
          <w:tcPr>
            <w:tcW w:type="dxa" w:w="2160"/>
          </w:tcPr>
          <w:p>
            <w:pPr>
              <w:jc w:val="left"/>
            </w:pPr>
            <w:r>
              <w:rPr>
                <w:color w:val="211C15"/>
                <w:sz w:val="19"/>
              </w:rPr>
              <w:t>2013</w:t>
            </w:r>
          </w:p>
        </w:tc>
        <w:tc>
          <w:tcPr>
            <w:tcW w:type="dxa" w:w="2880"/>
          </w:tcPr>
          <w:p>
            <w:pPr>
              <w:jc w:val="right"/>
            </w:pPr>
            <w:r>
              <w:rPr>
                <w:color w:val="211C15"/>
                <w:sz w:val="19"/>
              </w:rPr>
              <w:t>+2.95%</w:t>
            </w:r>
          </w:p>
        </w:tc>
      </w:tr>
      <w:tr>
        <w:tc>
          <w:tcPr>
            <w:tcW w:type="dxa" w:w="2160"/>
          </w:tcPr>
          <w:p>
            <w:pPr>
              <w:jc w:val="left"/>
            </w:pPr>
            <w:r>
              <w:rPr>
                <w:color w:val="211C15"/>
                <w:sz w:val="19"/>
              </w:rPr>
              <w:t>2014</w:t>
            </w:r>
          </w:p>
        </w:tc>
        <w:tc>
          <w:tcPr>
            <w:tcW w:type="dxa" w:w="2880"/>
          </w:tcPr>
          <w:p>
            <w:pPr>
              <w:jc w:val="right"/>
            </w:pPr>
            <w:r>
              <w:rPr>
                <w:color w:val="211C15"/>
                <w:sz w:val="19"/>
              </w:rPr>
              <w:t>+4.02%</w:t>
            </w:r>
          </w:p>
        </w:tc>
      </w:tr>
      <w:tr>
        <w:tc>
          <w:tcPr>
            <w:tcW w:type="dxa" w:w="2160"/>
          </w:tcPr>
          <w:p>
            <w:pPr>
              <w:jc w:val="left"/>
            </w:pPr>
            <w:r>
              <w:rPr>
                <w:color w:val="211C15"/>
                <w:sz w:val="19"/>
              </w:rPr>
              <w:t>2015</w:t>
            </w:r>
          </w:p>
        </w:tc>
        <w:tc>
          <w:tcPr>
            <w:tcW w:type="dxa" w:w="2880"/>
          </w:tcPr>
          <w:p>
            <w:pPr>
              <w:jc w:val="right"/>
            </w:pPr>
            <w:r>
              <w:rPr>
                <w:color w:val="211C15"/>
                <w:sz w:val="19"/>
              </w:rPr>
              <w:t>+4.66%</w:t>
            </w:r>
          </w:p>
        </w:tc>
      </w:tr>
      <w:tr>
        <w:tc>
          <w:tcPr>
            <w:tcW w:type="dxa" w:w="2160"/>
          </w:tcPr>
          <w:p>
            <w:pPr>
              <w:jc w:val="left"/>
            </w:pPr>
            <w:r>
              <w:rPr>
                <w:color w:val="211C15"/>
                <w:sz w:val="19"/>
              </w:rPr>
              <w:t>2016</w:t>
            </w:r>
          </w:p>
        </w:tc>
        <w:tc>
          <w:tcPr>
            <w:tcW w:type="dxa" w:w="2880"/>
          </w:tcPr>
          <w:p>
            <w:pPr>
              <w:jc w:val="right"/>
            </w:pPr>
            <w:r>
              <w:rPr>
                <w:color w:val="211C15"/>
                <w:sz w:val="19"/>
              </w:rPr>
              <w:t>+1.70%</w:t>
            </w:r>
          </w:p>
        </w:tc>
      </w:tr>
      <w:tr>
        <w:tc>
          <w:tcPr>
            <w:tcW w:type="dxa" w:w="2160"/>
          </w:tcPr>
          <w:p>
            <w:pPr>
              <w:jc w:val="left"/>
            </w:pPr>
            <w:r>
              <w:rPr>
                <w:color w:val="211C15"/>
                <w:sz w:val="19"/>
              </w:rPr>
              <w:t>2017</w:t>
            </w:r>
          </w:p>
        </w:tc>
        <w:tc>
          <w:tcPr>
            <w:tcW w:type="dxa" w:w="2880"/>
          </w:tcPr>
          <w:p>
            <w:pPr>
              <w:jc w:val="right"/>
            </w:pPr>
            <w:r>
              <w:rPr>
                <w:color w:val="211C15"/>
                <w:sz w:val="19"/>
              </w:rPr>
              <w:t>+1.18%</w:t>
            </w:r>
          </w:p>
        </w:tc>
      </w:tr>
      <w:tr>
        <w:tc>
          <w:tcPr>
            <w:tcW w:type="dxa" w:w="2160"/>
          </w:tcPr>
          <w:p>
            <w:pPr>
              <w:jc w:val="left"/>
            </w:pPr>
            <w:r>
              <w:rPr>
                <w:color w:val="211C15"/>
                <w:sz w:val="19"/>
              </w:rPr>
              <w:t>2018</w:t>
            </w:r>
          </w:p>
        </w:tc>
        <w:tc>
          <w:tcPr>
            <w:tcW w:type="dxa" w:w="2880"/>
          </w:tcPr>
          <w:p>
            <w:pPr>
              <w:jc w:val="right"/>
            </w:pPr>
            <w:r>
              <w:rPr>
                <w:color w:val="211C15"/>
                <w:sz w:val="19"/>
              </w:rPr>
              <w:t>+3.23%</w:t>
            </w:r>
          </w:p>
        </w:tc>
      </w:tr>
      <w:tr>
        <w:tc>
          <w:tcPr>
            <w:tcW w:type="dxa" w:w="2160"/>
          </w:tcPr>
          <w:p>
            <w:pPr>
              <w:jc w:val="left"/>
            </w:pPr>
            <w:r>
              <w:rPr>
                <w:color w:val="211C15"/>
                <w:sz w:val="19"/>
              </w:rPr>
              <w:t>2019</w:t>
            </w:r>
          </w:p>
        </w:tc>
        <w:tc>
          <w:tcPr>
            <w:tcW w:type="dxa" w:w="2880"/>
          </w:tcPr>
          <w:p>
            <w:pPr>
              <w:jc w:val="right"/>
            </w:pPr>
            <w:r>
              <w:rPr>
                <w:color w:val="211C15"/>
                <w:sz w:val="19"/>
              </w:rPr>
              <w:t>+1.65%</w:t>
            </w:r>
          </w:p>
        </w:tc>
      </w:tr>
      <w:tr>
        <w:tc>
          <w:tcPr>
            <w:tcW w:type="dxa" w:w="2160"/>
          </w:tcPr>
          <w:p>
            <w:pPr>
              <w:jc w:val="left"/>
            </w:pPr>
            <w:r>
              <w:rPr>
                <w:color w:val="211C15"/>
                <w:sz w:val="19"/>
              </w:rPr>
              <w:t>2020</w:t>
            </w:r>
          </w:p>
        </w:tc>
        <w:tc>
          <w:tcPr>
            <w:tcW w:type="dxa" w:w="2880"/>
          </w:tcPr>
          <w:p>
            <w:pPr>
              <w:jc w:val="right"/>
            </w:pPr>
            <w:r>
              <w:rPr>
                <w:color w:val="211C15"/>
                <w:sz w:val="19"/>
              </w:rPr>
              <w:t>-3.80%</w:t>
            </w:r>
          </w:p>
        </w:tc>
      </w:tr>
      <w:tr>
        <w:tc>
          <w:tcPr>
            <w:tcW w:type="dxa" w:w="2160"/>
          </w:tcPr>
          <w:p>
            <w:pPr>
              <w:jc w:val="left"/>
            </w:pPr>
            <w:r>
              <w:rPr>
                <w:color w:val="211C15"/>
                <w:sz w:val="19"/>
              </w:rPr>
              <w:t>2021</w:t>
            </w:r>
          </w:p>
        </w:tc>
        <w:tc>
          <w:tcPr>
            <w:tcW w:type="dxa" w:w="2880"/>
          </w:tcPr>
          <w:p>
            <w:pPr>
              <w:jc w:val="right"/>
            </w:pPr>
            <w:r>
              <w:rPr>
                <w:color w:val="211C15"/>
                <w:sz w:val="19"/>
              </w:rPr>
              <w:t>+6.52%</w:t>
            </w:r>
          </w:p>
        </w:tc>
      </w:tr>
      <w:tr>
        <w:tc>
          <w:tcPr>
            <w:tcW w:type="dxa" w:w="2160"/>
          </w:tcPr>
          <w:p>
            <w:pPr>
              <w:jc w:val="left"/>
            </w:pPr>
            <w:r>
              <w:rPr>
                <w:color w:val="211C15"/>
                <w:sz w:val="19"/>
              </w:rPr>
              <w:t>2022</w:t>
            </w:r>
          </w:p>
        </w:tc>
        <w:tc>
          <w:tcPr>
            <w:tcW w:type="dxa" w:w="2880"/>
          </w:tcPr>
          <w:p>
            <w:pPr>
              <w:jc w:val="right"/>
            </w:pPr>
            <w:r>
              <w:rPr>
                <w:color w:val="211C15"/>
                <w:sz w:val="19"/>
              </w:rPr>
              <w:t>+12.00%</w:t>
            </w:r>
          </w:p>
        </w:tc>
      </w:tr>
      <w:tr>
        <w:tc>
          <w:tcPr>
            <w:tcW w:type="dxa" w:w="2160"/>
          </w:tcPr>
          <w:p>
            <w:pPr>
              <w:jc w:val="left"/>
            </w:pPr>
            <w:r>
              <w:rPr>
                <w:color w:val="211C15"/>
                <w:sz w:val="19"/>
              </w:rPr>
              <w:t>2023</w:t>
            </w:r>
          </w:p>
        </w:tc>
        <w:tc>
          <w:tcPr>
            <w:tcW w:type="dxa" w:w="2880"/>
          </w:tcPr>
          <w:p>
            <w:pPr>
              <w:jc w:val="right"/>
            </w:pPr>
            <w:r>
              <w:rPr>
                <w:color w:val="211C15"/>
                <w:sz w:val="19"/>
              </w:rPr>
              <w:t>+0.54%</w:t>
            </w:r>
          </w:p>
        </w:tc>
      </w:tr>
      <w:tr>
        <w:tc>
          <w:tcPr>
            <w:tcW w:type="dxa" w:w="2160"/>
          </w:tcPr>
          <w:p>
            <w:pPr>
              <w:jc w:val="left"/>
            </w:pPr>
            <w:r>
              <w:rPr>
                <w:color w:val="211C15"/>
                <w:sz w:val="19"/>
              </w:rPr>
              <w:t>2024</w:t>
            </w:r>
          </w:p>
        </w:tc>
        <w:tc>
          <w:tcPr>
            <w:tcW w:type="dxa" w:w="2880"/>
          </w:tcPr>
          <w:p>
            <w:pPr>
              <w:jc w:val="right"/>
            </w:pPr>
            <w:r>
              <w:rPr>
                <w:color w:val="211C15"/>
                <w:sz w:val="19"/>
              </w:rPr>
              <w:t>+2.65%</w:t>
            </w:r>
          </w:p>
        </w:tc>
      </w:tr>
      <w:tr>
        <w:tc>
          <w:tcPr>
            <w:tcW w:type="dxa" w:w="2160"/>
          </w:tcPr>
          <w:p>
            <w:pPr>
              <w:jc w:val="left"/>
            </w:pPr>
            <w:r>
              <w:rPr>
                <w:color w:val="211C15"/>
                <w:sz w:val="19"/>
              </w:rPr>
              <w:t>2025</w:t>
            </w:r>
          </w:p>
        </w:tc>
        <w:tc>
          <w:tcPr>
            <w:tcW w:type="dxa" w:w="2880"/>
          </w:tcPr>
          <w:p>
            <w:pPr>
              <w:jc w:val="right"/>
            </w:pPr>
            <w:r>
              <w:rPr>
                <w:color w:val="211C15"/>
                <w:sz w:val="19"/>
              </w:rPr>
              <w:t>+4.50% *</w:t>
            </w:r>
          </w:p>
        </w:tc>
      </w:tr>
    </w:tbl>
    <w:p>
      <w:r>
        <w:rPr>
          <w:color w:val="8C8371"/>
          <w:sz w:val="17"/>
        </w:rPr>
        <w:t>* 2025 is a GASTAT preliminary national-accounts figure; 2010–2024 are World Bank series (NY.GDP.MKTP.KD.ZG).</w:t>
      </w:r>
    </w:p>
    <w:p/>
    <w:p>
      <w:pPr>
        <w:pStyle w:val="Heading2"/>
      </w:pPr>
      <w:r>
        <w:t>Vision 2030 — selected indicators</w:t>
      </w:r>
    </w:p>
    <w:tbl>
      <w:tblPr>
        <w:tblStyle w:val="LightGrid-Accent1"/>
        <w:tblW w:type="auto" w:w="0"/>
        <w:jc w:val="left"/>
        <w:tblLook w:firstColumn="1" w:firstRow="1" w:lastColumn="0" w:lastRow="0" w:noHBand="0" w:noVBand="1" w:val="04A0"/>
      </w:tblPr>
      <w:tblGrid>
        <w:gridCol w:w="4873"/>
        <w:gridCol w:w="4873"/>
      </w:tblGrid>
      <w:tr>
        <w:tc>
          <w:tcPr>
            <w:tcW w:type="dxa" w:w="3168"/>
            <w:shd w:fill="211C15"/>
          </w:tcPr>
          <w:p>
            <w:r>
              <w:rPr>
                <w:b/>
                <w:color w:val="FFFFFF"/>
                <w:sz w:val="19"/>
              </w:rPr>
              <w:t>Indicator</w:t>
            </w:r>
          </w:p>
        </w:tc>
        <w:tc>
          <w:tcPr>
            <w:tcW w:type="dxa" w:w="6192"/>
            <w:shd w:fill="211C15"/>
          </w:tcPr>
          <w:p>
            <w:r>
              <w:rPr>
                <w:b/>
                <w:color w:val="FFFFFF"/>
                <w:sz w:val="19"/>
              </w:rPr>
              <w:t>Figure</w:t>
            </w:r>
          </w:p>
        </w:tc>
      </w:tr>
      <w:tr>
        <w:tc>
          <w:tcPr>
            <w:tcW w:type="dxa" w:w="3168"/>
          </w:tcPr>
          <w:p>
            <w:pPr>
              <w:jc w:val="left"/>
            </w:pPr>
            <w:r>
              <w:rPr>
                <w:color w:val="211C15"/>
                <w:sz w:val="19"/>
              </w:rPr>
              <w:t>Inbound tourism, 2025</w:t>
            </w:r>
          </w:p>
        </w:tc>
        <w:tc>
          <w:tcPr>
            <w:tcW w:type="dxa" w:w="6192"/>
          </w:tcPr>
          <w:p>
            <w:pPr>
              <w:jc w:val="left"/>
            </w:pPr>
            <w:r>
              <w:rPr>
                <w:color w:val="211C15"/>
                <w:sz w:val="19"/>
              </w:rPr>
              <w:t>~122M visitors — original 2030 target (100M) reached 7 years early; goal raised to 150M</w:t>
            </w:r>
          </w:p>
        </w:tc>
      </w:tr>
      <w:tr>
        <w:tc>
          <w:tcPr>
            <w:tcW w:type="dxa" w:w="3168"/>
          </w:tcPr>
          <w:p>
            <w:pPr>
              <w:jc w:val="left"/>
            </w:pPr>
            <w:r>
              <w:rPr>
                <w:color w:val="211C15"/>
                <w:sz w:val="19"/>
              </w:rPr>
              <w:t>FDI inflows, Q1 2025</w:t>
            </w:r>
          </w:p>
        </w:tc>
        <w:tc>
          <w:tcPr>
            <w:tcW w:type="dxa" w:w="6192"/>
          </w:tcPr>
          <w:p>
            <w:pPr>
              <w:jc w:val="left"/>
            </w:pPr>
            <w:r>
              <w:rPr>
                <w:color w:val="211C15"/>
                <w:sz w:val="19"/>
              </w:rPr>
              <w:t>+44% YoY (SAR 22.2bn)</w:t>
            </w:r>
          </w:p>
        </w:tc>
      </w:tr>
      <w:tr>
        <w:tc>
          <w:tcPr>
            <w:tcW w:type="dxa" w:w="3168"/>
          </w:tcPr>
          <w:p>
            <w:pPr>
              <w:jc w:val="left"/>
            </w:pPr>
            <w:r>
              <w:rPr>
                <w:color w:val="211C15"/>
                <w:sz w:val="19"/>
              </w:rPr>
              <w:t>NEOM giga-project</w:t>
            </w:r>
          </w:p>
        </w:tc>
        <w:tc>
          <w:tcPr>
            <w:tcW w:type="dxa" w:w="6192"/>
          </w:tcPr>
          <w:p>
            <w:pPr>
              <w:jc w:val="left"/>
            </w:pPr>
            <w:r>
              <w:rPr>
                <w:color w:val="211C15"/>
                <w:sz w:val="19"/>
              </w:rPr>
              <w:t>~100,000 jobs created; ~$10bn FDI attracted</w:t>
            </w:r>
          </w:p>
        </w:tc>
      </w:tr>
      <w:tr>
        <w:tc>
          <w:tcPr>
            <w:tcW w:type="dxa" w:w="3168"/>
          </w:tcPr>
          <w:p>
            <w:pPr>
              <w:jc w:val="left"/>
            </w:pPr>
            <w:r>
              <w:rPr>
                <w:color w:val="211C15"/>
                <w:sz w:val="19"/>
              </w:rPr>
              <w:t>Vision 2030 initiatives</w:t>
            </w:r>
          </w:p>
        </w:tc>
        <w:tc>
          <w:tcPr>
            <w:tcW w:type="dxa" w:w="6192"/>
          </w:tcPr>
          <w:p>
            <w:pPr>
              <w:jc w:val="left"/>
            </w:pPr>
            <w:r>
              <w:rPr>
                <w:color w:val="211C15"/>
                <w:sz w:val="19"/>
              </w:rPr>
              <w:t>~85% reported complete or on track; 2025–2030 termed “full delivery” phase</w:t>
            </w:r>
          </w:p>
        </w:tc>
      </w:tr>
    </w:tbl>
    <w:p>
      <w:r>
        <w:br w:type="page"/>
      </w:r>
    </w:p>
    <w:p>
      <w:pPr>
        <w:pStyle w:val="Heading1"/>
      </w:pPr>
      <w:r>
        <w:t>Sources</w:t>
      </w:r>
    </w:p>
    <w:p>
      <w:pPr>
        <w:pStyle w:val="ListNumber"/>
      </w:pPr>
      <w:r>
        <w:rPr>
          <w:sz w:val="19"/>
        </w:rPr>
        <w:t>General Authority for Statistics, Saudi Arabia (GASTAT) — Census 2010 &amp; 2022, mid-year population estimates, national accounts / GDP releases.</w:t>
      </w:r>
    </w:p>
    <w:p>
      <w:pPr>
        <w:pStyle w:val="ListNumber"/>
      </w:pPr>
      <w:r>
        <w:rPr>
          <w:sz w:val="19"/>
        </w:rPr>
        <w:t>Gulf Labour Markets, Migration and Population Programme (GLMM), gulfmigration.grc.net — compiled tabulations of GASTAT population-by-nationality and by-region data, 2010–2024.</w:t>
      </w:r>
    </w:p>
    <w:p>
      <w:pPr>
        <w:pStyle w:val="ListNumber"/>
      </w:pPr>
      <w:r>
        <w:rPr>
          <w:sz w:val="19"/>
        </w:rPr>
        <w:t>World Bank national accounts data, indicator NY.GDP.MKTP.KD.ZG, 2010–2024.</w:t>
      </w:r>
    </w:p>
    <w:p>
      <w:pPr>
        <w:pStyle w:val="ListNumber"/>
      </w:pPr>
      <w:r>
        <w:rPr>
          <w:sz w:val="19"/>
        </w:rPr>
        <w:t>Trading Economics &amp; GASTAT national accounts releases, 2025 preliminary growth figures.</w:t>
      </w:r>
    </w:p>
    <w:p>
      <w:pPr>
        <w:pStyle w:val="ListNumber"/>
      </w:pPr>
      <w:r>
        <w:rPr>
          <w:sz w:val="19"/>
        </w:rPr>
        <w:t>Third-party religious demographic estimates (Pew Research Center / Association of Religion Data Archives methodology, as aggregated by public demographic reference sites) — not derived from an official census.</w:t>
      </w:r>
    </w:p>
    <w:p>
      <w:pPr>
        <w:pStyle w:val="ListNumber"/>
      </w:pPr>
      <w:r>
        <w:rPr>
          <w:sz w:val="19"/>
        </w:rPr>
        <w:t>Vision 2030 progress figures: Saudi state media (SPA), GASTAT quarterly releases, and 2025 press coverage of tourism, FDI and giga-project statistics.</w:t>
      </w:r>
    </w:p>
    <w:p/>
    <w:p>
      <w:r>
        <w:rPr>
          <w:i/>
          <w:color w:val="8C8371"/>
          <w:sz w:val="18"/>
        </w:rPr>
        <w:t>Caveats worth keeping in mind: city-level population is only ever as fresh as the last census (2022) — there is no official annual city series, so the 2010→2022 comparison is the finest-grained, honest view available. Regional (not city) breakdowns are annual through 2022 only, since the 2022 census reset the series. Religion is modeled, not measured. The 2025 population figure is omitted because GASTAT had not published it as of this writing.</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1C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211C1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11C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11C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