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yêu cầu thay đổi nghiệp vụ</w:t>
      </w:r>
    </w:p>
    <w:p>
      <w:r>
        <w:rPr>
          <w:b/>
        </w:rPr>
        <w:t>Mã tài liệu: M-CR-05  |  Ngày: 2026-10-21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Các Change Request</w:t>
      </w:r>
    </w:p>
    <w:p>
      <w:pPr>
        <w:pStyle w:val="ListBullet"/>
      </w:pPr>
      <w:r>
        <w:t>CR-014: đề xuất bỏ COD với sản phẩm số, duy trì COD đối với sản phẩm vật lý để giảm rủi ro giao mã số trước thanh toán.</w:t>
      </w:r>
    </w:p>
    <w:p>
      <w:pPr>
        <w:pStyle w:val="ListBullet"/>
      </w:pPr>
      <w:r>
        <w:t>CR-015: đề nghị tích hợp thêm ví điện tử cho beta, nhưng phân tích nguồn lực nhận xét rủi ro vượt phạm vi MVP.</w:t>
      </w:r>
    </w:p>
    <w:p>
      <w:pPr>
        <w:pStyle w:val="ListBullet"/>
      </w:pPr>
      <w:r>
        <w:t>CR-016: Minh đề nghị gia hạn deadline tích hợp thanh toán từ 05/11 thành 12/11 do callback cần thêm test.</w:t>
      </w:r>
    </w:p>
    <w:p>
      <w:pPr>
        <w:pStyle w:val="ListBullet"/>
      </w:pPr>
      <w:r>
        <w:t>CR-017: đề xuất tự động hoàn tiền khi payment gateway timeout; Linh yêu cầu đánh giá an toàn trước khi chấp thuận.</w:t>
      </w:r>
    </w:p>
    <w:p>
      <w:pPr>
        <w:pStyle w:val="ListBullet"/>
      </w:pPr>
      <w:r>
        <w:t>CR-018: yêu cầu retry payment phải bảo toàn idempotency key của cùng payment intent.</w:t>
      </w:r>
    </w:p>
    <w:p>
      <w:pPr>
        <w:pStyle w:val="ListBullet"/>
      </w:pPr>
      <w:r>
        <w:t>Đây là biểu mẫu yêu cầu, không phải quyết định phê duyệt; trạng thái phải đối chiếu Decision Log.</w:t>
      </w:r>
    </w:p>
    <w:p>
      <w:pPr>
        <w:pStyle w:val="ListBullet"/>
      </w:pPr>
      <w:r>
        <w:t>Không suy ra rằng tất cả CR được phê duyệt chỉ vì đã có mã và được thảo luận.</w:t>
      </w:r>
    </w:p>
    <w:p>
      <w:pPr>
        <w:pStyle w:val="Heading1"/>
      </w:pPr>
      <w:r>
        <w:t>Tác động và giới hạn</w:t>
      </w:r>
    </w:p>
    <w:p>
      <w:pPr>
        <w:pStyle w:val="ListBullet"/>
      </w:pPr>
      <w:r>
        <w:t>CR-014 ảnh hưởng quy tắc checkout theo loại hàng hóa.</w:t>
      </w:r>
    </w:p>
    <w:p>
      <w:pPr>
        <w:pStyle w:val="ListBullet"/>
      </w:pPr>
      <w:r>
        <w:t>CR-016 ảnh hưởng milestone UAT nếu được duyệt, nhưng chưa có cơ sở kết luận tác động đã xảy ra.</w:t>
      </w:r>
    </w:p>
    <w:p>
      <w:pPr>
        <w:pStyle w:val="ListBullet"/>
      </w:pPr>
      <w:r>
        <w:t>CR-017 cần đối chiếu dữ liệu ngân hàng; timeout không khẳng định tiền đã bị thu.</w:t>
      </w:r>
    </w:p>
    <w:p>
      <w:pPr>
        <w:pStyle w:val="ListBullet"/>
      </w:pPr>
      <w:r>
        <w:t>Các chủ sở hữu triển khai chỉ được cập nhật backlog sau quyết định hợp lệ của PM.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M-CR-05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