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nghiệp vụ v1</w:t>
      </w:r>
    </w:p>
    <w:p>
      <w:r>
        <w:rPr>
          <w:b/>
        </w:rPr>
        <w:t>Mã tài liệu: M-SRS-01  |  Ngày: 2026-09-01</w:t>
        <w:br/>
      </w:r>
      <w:r>
        <w:rPr>
          <w:i/>
        </w:rPr>
        <w:t>BỘ DỮ LIỆU MÔ PHỎNG · NEXORA RAG BENCHMARK</w:t>
      </w:r>
    </w:p>
    <w:p>
      <w:r>
        <w:t>Tài liệu nghiệp vụ giả lập có chủ ý: chứa dữ kiện, lịch sử đề xuất/phê duyệt và mối quan hệ liên tài liệu. Không sử dụng như dữ liệu vận hành thực.</w:t>
      </w:r>
    </w:p>
    <w:p>
      <w:pPr>
        <w:pStyle w:val="Heading1"/>
      </w:pPr>
      <w:r>
        <w:t>Mục tiêu và phạm vi</w:t>
      </w:r>
    </w:p>
    <w:p>
      <w:pPr>
        <w:pStyle w:val="ListBullet"/>
      </w:pPr>
      <w:r>
        <w:t>Mercury Commerce là nền tảng thương mại điện tử thử nghiệm, gồm giỏ hàng, checkout, thanh toán, quản lý tồn kho, vận chuyển vật lý và giao mã tải về cho sản phẩm số.</w:t>
      </w:r>
    </w:p>
    <w:p>
      <w:pPr>
        <w:pStyle w:val="ListBullet"/>
      </w:pPr>
      <w:r>
        <w:t>Phiên bản yêu cầu SRS v1 được phê duyệt ngày 01/09/2026, nhưng các quyết định thay đổi chính thức sau đó có thể thay thế yêu cầu tương ứng.</w:t>
      </w:r>
    </w:p>
    <w:p>
      <w:pPr>
        <w:pStyle w:val="ListBullet"/>
      </w:pPr>
      <w:r>
        <w:t>Ban đầu COD được mô tả cho cả sản phẩm vật lý và sản phẩm số; đây là quy tắc trước khi xét CR-014 và quyết định D-014.</w:t>
      </w:r>
    </w:p>
    <w:p>
      <w:pPr>
        <w:pStyle w:val="ListBullet"/>
      </w:pPr>
      <w:r>
        <w:t>Các đơn sản phẩm vật lý dùng COD hoặc thanh toán cổng trực tuyến; hàng số không có bước giao vận vật lý.</w:t>
      </w:r>
    </w:p>
    <w:p>
      <w:pPr>
        <w:pStyle w:val="ListBullet"/>
      </w:pPr>
      <w:r>
        <w:t>Giỏ hàng hỗ trợ kiểm tra tồn kho và thông báo đơn không hợp lệ khi số lượng đặt vượt số lượng sẵn có.</w:t>
      </w:r>
    </w:p>
    <w:p>
      <w:pPr>
        <w:pStyle w:val="ListBullet"/>
      </w:pPr>
      <w:r>
        <w:t>Khi tạo checkout, hệ thống giữ chỗ tồn kho tối đa 15 phút rồi giải phóng nếu đơn chưa được xác nhận.</w:t>
      </w:r>
    </w:p>
    <w:p>
      <w:pPr>
        <w:pStyle w:val="ListBullet"/>
      </w:pPr>
      <w:r>
        <w:t>Tính năng ví điện tử tích hợp trực tiếp không nằm trong phạm vi MVP ban đầu, có thể cân nhắc bản sau.</w:t>
      </w:r>
    </w:p>
    <w:p>
      <w:pPr>
        <w:pStyle w:val="ListBullet"/>
      </w:pPr>
      <w:r>
        <w:t>Hoàn tiền bản đầu được thực hiện thủ công sau khi đối soát và xác minh giao dịch; không tự động hoàn tiền khi gặp timeout.</w:t>
      </w:r>
    </w:p>
    <w:p>
      <w:pPr>
        <w:pStyle w:val="ListBullet"/>
      </w:pPr>
      <w:r>
        <w:t>Mục tiêu nghiệp vụ là tránh tạo nhiều giao dịch thu tiền cho cùng một ý định thanh toán.</w:t>
      </w:r>
    </w:p>
    <w:p>
      <w:pPr>
        <w:pStyle w:val="ListBullet"/>
      </w:pPr>
      <w:r>
        <w:t>Trạng thái đặt hàng gồm CREATED, AWAITING_PAYMENT, PAID, PACKING, SHIPPED và CANCELLED; PAID không đồng nghĩa với SHIPPED.</w:t>
      </w:r>
    </w:p>
    <w:p>
      <w:pPr>
        <w:pStyle w:val="Heading1"/>
      </w:pPr>
      <w:r>
        <w:t>Điều kiện nghiệm thu và dữ liệu</w:t>
      </w:r>
    </w:p>
    <w:p>
      <w:pPr>
        <w:pStyle w:val="ListBullet"/>
      </w:pPr>
      <w:r>
        <w:t>Đơn không được ghi nhận PAID chỉ vì cổng thanh toán trả timeout; cần xác thực trạng thái giao dịch.</w:t>
      </w:r>
    </w:p>
    <w:p>
      <w:pPr>
        <w:pStyle w:val="ListBullet"/>
      </w:pPr>
      <w:r>
        <w:t>Mỗi yêu cầu có mã đơn hàng và khóa định danh giao dịch; thao tác retry phải tôn trọng idempotency.</w:t>
      </w:r>
    </w:p>
    <w:p>
      <w:pPr>
        <w:pStyle w:val="ListBullet"/>
      </w:pPr>
      <w:r>
        <w:t>Báo cáo trạng thái giao dịch không thể tự dùng làm bằng chứng khách bị trừ tiền hai lần.</w:t>
      </w:r>
    </w:p>
    <w:p>
      <w:pPr>
        <w:pStyle w:val="ListBullet"/>
      </w:pPr>
      <w:r>
        <w:t>Tài liệu này không chứa dữ liệu khách hàng thật; email và số tài khoản chỉ dùng dữ liệu giả lập.</w:t>
      </w:r>
    </w:p>
    <w:p>
      <w:pPr>
        <w:pStyle w:val="ListBullet"/>
      </w:pPr>
      <w:r>
        <w:t>Chủ sở hữu yêu cầu là PM Lan; phiên bản này phải được đọc cùng Decision Log ngày 24/10 khi hỏi về chính sách hiện hành.</w:t>
      </w:r>
    </w:p>
    <w:sectPr w:rsidR="00FC693F" w:rsidRPr="0006063C" w:rsidSect="00034616">
      <w:footerReference w:type="default" r:id="rId9"/>
      <w:pgSz w:w="12240" w:h="15840"/>
      <w:pgMar w:top="1181"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NEXORA | M-SRS-01 | Synthetic benchmark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C37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C3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C37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