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thay đổi địa điểm và suất ăn</w:t>
      </w:r>
    </w:p>
    <w:p>
      <w:r>
        <w:rPr>
          <w:b/>
        </w:rPr>
        <w:t>Mã tài liệu: E-CR-05  |  Ngày: 2026-10-23</w:t>
        <w:br/>
      </w:r>
      <w:r>
        <w:rPr>
          <w:i/>
        </w:rPr>
        <w:t>BỘ DỮ LIỆU MÔ PHỎNG · NEXORA RAG BENCHMARK</w:t>
      </w:r>
    </w:p>
    <w:p>
      <w:r>
        <w:t>Tài liệu nghiệp vụ giả lập có chủ ý: chứa dữ kiện, lịch sử đề xuất/phê duyệt và mối quan hệ liên tài liệu. Không sử dụng như dữ liệu vận hành thực.</w:t>
      </w:r>
    </w:p>
    <w:p>
      <w:pPr>
        <w:pStyle w:val="Heading1"/>
      </w:pPr>
      <w:r>
        <w:t>Danh sách Change Request</w:t>
      </w:r>
    </w:p>
    <w:p>
      <w:pPr>
        <w:pStyle w:val="ListBullet"/>
      </w:pPr>
      <w:r>
        <w:t>CR-E11: tăng suất ăn từ 300 lên 400 do dự báo đăng ký cao.</w:t>
      </w:r>
    </w:p>
    <w:p>
      <w:pPr>
        <w:pStyle w:val="ListBullet"/>
      </w:pPr>
      <w:r>
        <w:t>CR-E12: chuyển toàn bộ hội nghị sang Hall B có sức chứa 420 nếu trời mưa.</w:t>
      </w:r>
    </w:p>
    <w:p>
      <w:pPr>
        <w:pStyle w:val="ListBullet"/>
      </w:pPr>
      <w:r>
        <w:t>CR-E13: chuyển khu check-in từ sảnh ngoài vào sảnh trong khi dự báo mưa lớn.</w:t>
      </w:r>
    </w:p>
    <w:p>
      <w:pPr>
        <w:pStyle w:val="ListBullet"/>
      </w:pPr>
      <w:r>
        <w:t>CR-E14: đề nghị thêm quyền keynote mặc định cho nhà tài trợ Gold.</w:t>
      </w:r>
    </w:p>
    <w:p>
      <w:pPr>
        <w:pStyle w:val="ListBullet"/>
      </w:pPr>
      <w:r>
        <w:t>CR-E15: bổ sung quy trình check-in xác minh QR trùng và thống kê đúng lượt.</w:t>
      </w:r>
    </w:p>
    <w:p>
      <w:pPr>
        <w:pStyle w:val="ListBullet"/>
      </w:pPr>
      <w:r>
        <w:t>Đây là Change Request đang chờ/đã đưa ra xét, không phải quyết định phê duyệt.</w:t>
      </w:r>
    </w:p>
    <w:p>
      <w:pPr>
        <w:pStyle w:val="ListBullet"/>
      </w:pPr>
      <w:r>
        <w:t>Kế hoạch mua hàng và hợp đồng địa điểm chỉ được thay đổi sau quyết định được ký.</w:t>
      </w:r>
    </w:p>
    <w:p>
      <w:pPr>
        <w:pStyle w:val="Heading1"/>
      </w:pPr>
      <w:r>
        <w:t>Đánh giá tác động</w:t>
      </w:r>
    </w:p>
    <w:p>
      <w:pPr>
        <w:pStyle w:val="ListBullet"/>
      </w:pPr>
      <w:r>
        <w:t>CR-E11 có thể tạo rủi ro vượt ngân sách hoặc dư suất ăn nếu dùng số form chưa lọc trùng.</w:t>
      </w:r>
    </w:p>
    <w:p>
      <w:pPr>
        <w:pStyle w:val="ListBullet"/>
      </w:pPr>
      <w:r>
        <w:t>CR-E12 đòi thêm hợp đồng và chi phí, chưa có nhà cung cấp xác nhận.</w:t>
      </w:r>
    </w:p>
    <w:p>
      <w:pPr>
        <w:pStyle w:val="ListBullet"/>
      </w:pPr>
      <w:r>
        <w:t>CR-E13 chỉ tác động check-in, không bắt buộc thay đổi sân khấu hoặc nơi diễn thuyết.</w:t>
      </w:r>
    </w:p>
    <w:p>
      <w:pPr>
        <w:pStyle w:val="ListBullet"/>
      </w:pPr>
      <w:r>
        <w:t>CR-E14 xung đột mô tả gói tài trợ đã được công bố chính thức.</w:t>
      </w:r>
    </w:p>
    <w:p>
      <w:pPr>
        <w:pStyle w:val="ListBullet"/>
      </w:pPr>
      <w:r>
        <w:t>CR-E15 liên quan kiểm thử quét mã QR trùng chứ không nâng sức chứa vật lý.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NEXORA | E-CR-05 | Synthetic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C37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