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Yêu cầu nghiệp vụ tổ chức hội nghị</w:t>
      </w:r>
    </w:p>
    <w:p>
      <w:r>
        <w:rPr>
          <w:b/>
        </w:rPr>
        <w:t>Mã tài liệu: E-SRS-01  |  Ngày: 2026-09-12</w:t>
        <w:br/>
      </w:r>
      <w:r>
        <w:rPr>
          <w:i/>
        </w:rPr>
        <w:t>BỘ DỮ LIỆU MÔ PHỎNG · NEXORA RAG BENCHMARK</w:t>
      </w:r>
    </w:p>
    <w:p>
      <w:r>
        <w:t>Tài liệu nghiệp vụ giả lập có chủ ý: chứa dữ kiện, lịch sử đề xuất/phê duyệt và mối quan hệ liên tài liệu. Không sử dụng như dữ liệu vận hành thực.</w:t>
      </w:r>
    </w:p>
    <w:p>
      <w:pPr>
        <w:pStyle w:val="Heading1"/>
      </w:pPr>
      <w:r>
        <w:t>Mục tiêu và không gian</w:t>
      </w:r>
    </w:p>
    <w:p>
      <w:pPr>
        <w:pStyle w:val="ListBullet"/>
      </w:pPr>
      <w:r>
        <w:t>UniTech Day 2026 là hội nghị công nghệ cấp đại học, dự kiến diễn ra ngày 12/12/2026.</w:t>
      </w:r>
    </w:p>
    <w:p>
      <w:pPr>
        <w:pStyle w:val="ListBullet"/>
      </w:pPr>
      <w:r>
        <w:t>Hội trường A được bố trí làm nơi diễn ra các phiên chính, sức chứa tối đa 350 người cùng thời điểm, bao gồm khách, diễn giả và nhân sự.</w:t>
      </w:r>
    </w:p>
    <w:p>
      <w:pPr>
        <w:pStyle w:val="ListBullet"/>
      </w:pPr>
      <w:r>
        <w:t>Người đăng ký là người điền form; người được xác nhận là người đã hoàn thành bước xác nhận; người thực sự tham dự chỉ biết sau sự kiện.</w:t>
      </w:r>
    </w:p>
    <w:p>
      <w:pPr>
        <w:pStyle w:val="ListBullet"/>
      </w:pPr>
      <w:r>
        <w:t>Check-in dự kiến diễn ra tại sảnh ngoài, nhưng có kế hoạch chuyển vào sảnh trong khi mưa.</w:t>
      </w:r>
    </w:p>
    <w:p>
      <w:pPr>
        <w:pStyle w:val="ListBullet"/>
      </w:pPr>
      <w:r>
        <w:t>Mỗi khách phải có mã vé QR hợp lệ để qua check-in, quét trùng không tạo thêm lượt vào mới.</w:t>
      </w:r>
    </w:p>
    <w:p>
      <w:pPr>
        <w:pStyle w:val="ListBullet"/>
      </w:pPr>
      <w:r>
        <w:t>Ban đầu kế hoạch phục vụ 300 suất ăn; quyết định mua bổ sung sẽ được ghi riêng.</w:t>
      </w:r>
    </w:p>
    <w:p>
      <w:pPr>
        <w:pStyle w:val="ListBullet"/>
      </w:pPr>
      <w:r>
        <w:t>Gói tài trợ Gold theo mô tả quyền lợi gồm 2 gian hàng; quyền phát biểu keynote không tự phát sinh từ tên gói.</w:t>
      </w:r>
    </w:p>
    <w:p>
      <w:pPr>
        <w:pStyle w:val="ListBullet"/>
      </w:pPr>
      <w:r>
        <w:t>Gói Silver gồm 1 gian hàng; keynote được chương trình mời và phê duyệt theo danh sách diễn giả.</w:t>
      </w:r>
    </w:p>
    <w:p>
      <w:pPr>
        <w:pStyle w:val="ListBullet"/>
      </w:pPr>
      <w:r>
        <w:t>Không đưa thông tin định danh của khách tham dự vào tài liệu benchmarking.</w:t>
      </w:r>
    </w:p>
    <w:p>
      <w:pPr>
        <w:pStyle w:val="Heading1"/>
      </w:pPr>
      <w:r>
        <w:t>Kiểm soát nghiệp vụ</w:t>
      </w:r>
    </w:p>
    <w:p>
      <w:pPr>
        <w:pStyle w:val="ListBullet"/>
      </w:pPr>
      <w:r>
        <w:t>Sức chứa là số người hiện diện, không phải số form đăng ký.</w:t>
      </w:r>
    </w:p>
    <w:p>
      <w:pPr>
        <w:pStyle w:val="ListBullet"/>
      </w:pPr>
      <w:r>
        <w:t>Báo cáo đăng ký ban đầu không phải số lượng người đã check-in ngày diễn ra.</w:t>
      </w:r>
    </w:p>
    <w:p>
      <w:pPr>
        <w:pStyle w:val="ListBullet"/>
      </w:pPr>
      <w:r>
        <w:t>Dự báo mưa là điều kiện dự phòng; không phải bằng chứng mưa đã xảy ra.</w:t>
      </w:r>
    </w:p>
    <w:p>
      <w:pPr>
        <w:pStyle w:val="ListBullet"/>
      </w:pPr>
      <w:r>
        <w:t>Đề xuất chuyển hội trường cần quyết định ban tổ chức mới có hiệu lực.</w:t>
      </w:r>
    </w:p>
    <w:sectPr w:rsidR="00FC693F" w:rsidRPr="0006063C" w:rsidSect="00034616">
      <w:footerReference w:type="default" r:id="rId9"/>
      <w:pgSz w:w="12240" w:h="15840"/>
      <w:pgMar w:top="1181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NEXORA | E-SRS-01 | Synthetic benchmark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C37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C3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C37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