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,市场占有率低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该项目不了解，信任度低，可信度不高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</w:t>
            </w:r>
            <w:r>
              <w:rPr>
                <w:rFonts w:hint="eastAsia" w:ascii="Calibri" w:hAnsi="Calibri"/>
                <w:lang w:val="en-US" w:eastAsia="zh-CN"/>
              </w:rPr>
              <w:t>半</w:t>
            </w:r>
            <w:r>
              <w:rPr>
                <w:rFonts w:hint="eastAsia" w:ascii="Calibri" w:hAnsi="Calibri"/>
              </w:rPr>
              <w:t>小时的快速送货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校内送餐主打以速度为优势，充分利用地理优势。但如果订单繁多人手不够，速度优势无法发挥，会导致失去大量客户。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技术团队不到位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无法得到充足的启动资金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以及研发</w:t>
            </w:r>
            <w:r>
              <w:rPr>
                <w:rFonts w:hint="eastAsia" w:hAnsi="宋体"/>
                <w:bCs/>
                <w:szCs w:val="21"/>
              </w:rPr>
              <w:t>时，需要大量的资金，目前团队不具备，需要寻找投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3A7A412D"/>
    <w:rsid w:val="66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49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caoxinyu</cp:lastModifiedBy>
  <dcterms:modified xsi:type="dcterms:W3CDTF">2020-11-16T09:09:23Z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