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BCF4F" w14:textId="71AC186B" w:rsidR="00AB54E9" w:rsidRDefault="00AB54E9" w:rsidP="004308BB">
      <w:r>
        <w:t>N</w:t>
      </w:r>
      <w:r>
        <w:rPr>
          <w:rFonts w:hint="eastAsia"/>
        </w:rPr>
        <w:t>ame:</w:t>
      </w:r>
      <w:r w:rsidR="00AC38A7">
        <w:t xml:space="preserve"> </w:t>
      </w:r>
      <w:r w:rsidR="00B4514A">
        <w:rPr>
          <w:rFonts w:hint="eastAsia"/>
        </w:rPr>
        <w:t>周嘉禾</w:t>
      </w:r>
    </w:p>
    <w:p w14:paraId="456CAE6A" w14:textId="6B9C67A3" w:rsidR="00AB54E9" w:rsidRDefault="00AB54E9" w:rsidP="004308BB">
      <w:pPr>
        <w:wordWrap w:val="0"/>
      </w:pPr>
      <w:r>
        <w:t>Student ID:</w:t>
      </w:r>
      <w:r w:rsidR="00AC38A7">
        <w:t xml:space="preserve"> D</w:t>
      </w:r>
      <w:r w:rsidR="00B4514A">
        <w:rPr>
          <w:rFonts w:hint="eastAsia"/>
        </w:rPr>
        <w:t>1166506</w:t>
      </w:r>
    </w:p>
    <w:p w14:paraId="756BF27E" w14:textId="330A5A93" w:rsidR="00AB54E9" w:rsidRDefault="00AB54E9" w:rsidP="004308BB">
      <w:pPr>
        <w:wordWrap w:val="0"/>
      </w:pPr>
      <w:r>
        <w:t>Group No.:</w:t>
      </w:r>
      <w:r w:rsidR="00AC38A7">
        <w:t xml:space="preserve"> </w:t>
      </w:r>
      <w:r w:rsidR="00B4514A">
        <w:t>04</w:t>
      </w:r>
    </w:p>
    <w:p w14:paraId="2F556724" w14:textId="051AB497" w:rsidR="00A0092B" w:rsidRDefault="00A0092B" w:rsidP="004308BB">
      <w:pPr>
        <w:wordWrap w:val="0"/>
      </w:pPr>
      <w:r>
        <w:rPr>
          <w:rFonts w:hint="eastAsia"/>
        </w:rPr>
        <w:t>Da</w:t>
      </w:r>
      <w:r>
        <w:t>te of Exp.: 20</w:t>
      </w:r>
      <w:r w:rsidR="00287FD1">
        <w:t>2</w:t>
      </w:r>
      <w:r w:rsidR="004130DE">
        <w:rPr>
          <w:rFonts w:hint="eastAsia"/>
        </w:rPr>
        <w:t>2</w:t>
      </w:r>
      <w:r>
        <w:t>/</w:t>
      </w:r>
      <w:r w:rsidR="00B4514A">
        <w:t>1</w:t>
      </w:r>
      <w:r w:rsidR="00B4514A">
        <w:rPr>
          <w:rFonts w:hint="eastAsia"/>
        </w:rPr>
        <w:t>1</w:t>
      </w:r>
      <w:r>
        <w:t>/</w:t>
      </w:r>
      <w:r w:rsidR="00B4514A">
        <w:rPr>
          <w:rFonts w:hint="eastAsia"/>
        </w:rPr>
        <w:t>0</w:t>
      </w:r>
      <w:r w:rsidR="00D849FE">
        <w:t>4</w:t>
      </w:r>
    </w:p>
    <w:p w14:paraId="4942D1BF" w14:textId="7F06038D" w:rsidR="00AB54E9" w:rsidRPr="006B5135" w:rsidRDefault="001134BC" w:rsidP="00AB54E9">
      <w:pPr>
        <w:jc w:val="center"/>
        <w:rPr>
          <w:b/>
          <w:bCs/>
          <w:sz w:val="48"/>
          <w:szCs w:val="48"/>
        </w:rPr>
      </w:pPr>
      <w:r w:rsidRPr="006B5135">
        <w:rPr>
          <w:b/>
          <w:bCs/>
          <w:sz w:val="48"/>
          <w:szCs w:val="48"/>
        </w:rPr>
        <w:t>Ex</w:t>
      </w:r>
      <w:r w:rsidR="005D265B">
        <w:rPr>
          <w:b/>
          <w:bCs/>
          <w:sz w:val="48"/>
          <w:szCs w:val="48"/>
        </w:rPr>
        <w:t xml:space="preserve">p. </w:t>
      </w:r>
      <w:r w:rsidR="00B4514A">
        <w:rPr>
          <w:rFonts w:hint="eastAsia"/>
          <w:b/>
          <w:bCs/>
          <w:sz w:val="48"/>
          <w:szCs w:val="48"/>
        </w:rPr>
        <w:t>9</w:t>
      </w:r>
      <w:r w:rsidR="005D265B">
        <w:rPr>
          <w:b/>
          <w:bCs/>
          <w:sz w:val="48"/>
          <w:szCs w:val="48"/>
        </w:rPr>
        <w:t xml:space="preserve"> </w:t>
      </w:r>
      <w:r w:rsidR="00B4514A">
        <w:rPr>
          <w:rFonts w:hint="eastAsia"/>
          <w:b/>
          <w:bCs/>
          <w:sz w:val="48"/>
          <w:szCs w:val="48"/>
        </w:rPr>
        <w:t>A Vo</w:t>
      </w:r>
      <w:r w:rsidR="00B4514A">
        <w:rPr>
          <w:b/>
          <w:bCs/>
          <w:sz w:val="48"/>
          <w:szCs w:val="48"/>
        </w:rPr>
        <w:t>lumetric Analysis</w:t>
      </w:r>
    </w:p>
    <w:p w14:paraId="23755D89" w14:textId="272700CC" w:rsidR="00561024" w:rsidRPr="00BB190E" w:rsidRDefault="00700A74" w:rsidP="00561024">
      <w:pPr>
        <w:rPr>
          <w:b/>
          <w:bCs/>
          <w:sz w:val="32"/>
        </w:rPr>
      </w:pPr>
      <w:r w:rsidRPr="00BB190E">
        <w:rPr>
          <w:b/>
          <w:bCs/>
          <w:sz w:val="32"/>
        </w:rPr>
        <w:t>Purpose</w:t>
      </w:r>
      <w:r w:rsidR="00AB54E9" w:rsidRPr="00BB190E">
        <w:rPr>
          <w:b/>
          <w:bCs/>
          <w:sz w:val="32"/>
        </w:rPr>
        <w:t>:</w:t>
      </w:r>
    </w:p>
    <w:p w14:paraId="5221BBB5" w14:textId="732AEB40" w:rsidR="00B4514A" w:rsidRPr="00B4514A" w:rsidRDefault="00B4514A" w:rsidP="000D607F">
      <w:pPr>
        <w:pStyle w:val="a7"/>
        <w:numPr>
          <w:ilvl w:val="0"/>
          <w:numId w:val="2"/>
        </w:numPr>
        <w:spacing w:line="320" w:lineRule="atLeast"/>
        <w:ind w:leftChars="0"/>
        <w:rPr>
          <w:szCs w:val="24"/>
        </w:rPr>
      </w:pPr>
      <w:r>
        <w:t>To prepare and standardize a sodium hydroxide solution.</w:t>
      </w:r>
    </w:p>
    <w:p w14:paraId="141411FF" w14:textId="3C6A8346" w:rsidR="000D607F" w:rsidRDefault="00B4514A" w:rsidP="000D607F">
      <w:pPr>
        <w:pStyle w:val="a7"/>
        <w:numPr>
          <w:ilvl w:val="0"/>
          <w:numId w:val="2"/>
        </w:numPr>
        <w:spacing w:line="320" w:lineRule="atLeast"/>
        <w:ind w:leftChars="0"/>
        <w:rPr>
          <w:szCs w:val="24"/>
        </w:rPr>
      </w:pPr>
      <w:r>
        <w:t>To determine the molar concentration of a strong acid</w:t>
      </w:r>
      <w:r>
        <w:rPr>
          <w:szCs w:val="24"/>
        </w:rPr>
        <w:t>.</w:t>
      </w:r>
    </w:p>
    <w:p w14:paraId="16E6FF4F" w14:textId="0CD95CDD" w:rsidR="003D5271" w:rsidRPr="00BB190E" w:rsidRDefault="003D5271" w:rsidP="003D5271">
      <w:pPr>
        <w:rPr>
          <w:b/>
          <w:bCs/>
          <w:sz w:val="32"/>
        </w:rPr>
      </w:pPr>
      <w:r w:rsidRPr="00BB190E">
        <w:rPr>
          <w:b/>
          <w:bCs/>
          <w:sz w:val="32"/>
        </w:rPr>
        <w:t>Materials and Reactions</w:t>
      </w:r>
      <w:r w:rsidR="005A6418">
        <w:rPr>
          <w:b/>
          <w:bCs/>
          <w:sz w:val="32"/>
        </w:rPr>
        <w:t xml:space="preserve"> (if any)</w:t>
      </w:r>
      <w:r w:rsidRPr="00BB190E">
        <w:rPr>
          <w:b/>
          <w:bCs/>
          <w:sz w:val="32"/>
        </w:rPr>
        <w:t>:</w:t>
      </w:r>
    </w:p>
    <w:p w14:paraId="5580BB2D" w14:textId="0AB6102F" w:rsidR="00B4514A" w:rsidRPr="00B4514A" w:rsidRDefault="00B4514A" w:rsidP="00700A74">
      <w:pPr>
        <w:pStyle w:val="a7"/>
        <w:numPr>
          <w:ilvl w:val="0"/>
          <w:numId w:val="2"/>
        </w:numPr>
        <w:spacing w:line="320" w:lineRule="atLeast"/>
        <w:ind w:leftChars="0"/>
        <w:rPr>
          <w:szCs w:val="24"/>
        </w:rPr>
      </w:pPr>
      <w:r>
        <w:t>Pipets</w:t>
      </w:r>
    </w:p>
    <w:p w14:paraId="74AD0F81" w14:textId="77777777" w:rsidR="00B4514A" w:rsidRPr="00B4514A" w:rsidRDefault="00B4514A" w:rsidP="00700A74">
      <w:pPr>
        <w:pStyle w:val="a7"/>
        <w:numPr>
          <w:ilvl w:val="0"/>
          <w:numId w:val="2"/>
        </w:numPr>
        <w:spacing w:line="320" w:lineRule="atLeast"/>
        <w:ind w:leftChars="0"/>
        <w:rPr>
          <w:szCs w:val="24"/>
        </w:rPr>
      </w:pPr>
      <w:r>
        <w:t>Burets</w:t>
      </w:r>
    </w:p>
    <w:p w14:paraId="644694CC" w14:textId="2E38BD6D" w:rsidR="00700A74" w:rsidRPr="00B4514A" w:rsidRDefault="00B4514A" w:rsidP="00700A74">
      <w:pPr>
        <w:pStyle w:val="a7"/>
        <w:numPr>
          <w:ilvl w:val="0"/>
          <w:numId w:val="2"/>
        </w:numPr>
        <w:spacing w:line="320" w:lineRule="atLeast"/>
        <w:ind w:leftChars="0"/>
        <w:rPr>
          <w:szCs w:val="24"/>
        </w:rPr>
      </w:pPr>
      <w:r>
        <w:t>Volumetric flasks</w:t>
      </w:r>
    </w:p>
    <w:p w14:paraId="417B05C1" w14:textId="3BB81C31" w:rsidR="00B4514A" w:rsidRPr="00B4514A" w:rsidRDefault="00B4514A" w:rsidP="00700A74">
      <w:pPr>
        <w:pStyle w:val="a7"/>
        <w:numPr>
          <w:ilvl w:val="0"/>
          <w:numId w:val="2"/>
        </w:numPr>
        <w:spacing w:line="320" w:lineRule="atLeast"/>
        <w:ind w:leftChars="0"/>
        <w:rPr>
          <w:szCs w:val="24"/>
        </w:rPr>
      </w:pPr>
      <w:r>
        <w:t>Titrant (Sodium hydroxide)</w:t>
      </w:r>
    </w:p>
    <w:p w14:paraId="211E5241" w14:textId="2D94F45B" w:rsidR="00B4514A" w:rsidRPr="000B5F86" w:rsidRDefault="008357FC" w:rsidP="00700A74">
      <w:pPr>
        <w:pStyle w:val="a7"/>
        <w:numPr>
          <w:ilvl w:val="0"/>
          <w:numId w:val="2"/>
        </w:numPr>
        <w:spacing w:line="320" w:lineRule="atLeast"/>
        <w:ind w:leftChars="0"/>
        <w:rPr>
          <w:szCs w:val="24"/>
        </w:rPr>
      </w:pPr>
      <w:r>
        <w:t>Phenolphthalein i</w:t>
      </w:r>
      <w:r w:rsidR="00B4514A">
        <w:t>ndicator</w:t>
      </w:r>
    </w:p>
    <w:p w14:paraId="466F1CB4" w14:textId="49C70694" w:rsidR="000B5F86" w:rsidRPr="00F745EF" w:rsidRDefault="000B5F86" w:rsidP="00700A74">
      <w:pPr>
        <w:pStyle w:val="a7"/>
        <w:numPr>
          <w:ilvl w:val="0"/>
          <w:numId w:val="2"/>
        </w:numPr>
        <w:spacing w:line="320" w:lineRule="atLeast"/>
        <w:ind w:leftChars="0"/>
        <w:rPr>
          <w:szCs w:val="24"/>
        </w:rPr>
      </w:pPr>
      <w:r>
        <w:t>25.00 mL of the acid solution</w:t>
      </w:r>
    </w:p>
    <w:p w14:paraId="5A24B5B6" w14:textId="236DC1CA" w:rsidR="00F745EF" w:rsidRPr="00F745EF" w:rsidRDefault="00F745EF" w:rsidP="00700A74">
      <w:pPr>
        <w:pStyle w:val="a7"/>
        <w:numPr>
          <w:ilvl w:val="0"/>
          <w:numId w:val="2"/>
        </w:numPr>
        <w:spacing w:line="320" w:lineRule="atLeast"/>
        <w:ind w:leftChars="0"/>
        <w:rPr>
          <w:szCs w:val="24"/>
        </w:rPr>
      </w:pPr>
      <w:r>
        <w:t>three clean 125-mL or 250-mL Erlenmeyer flasks</w:t>
      </w:r>
    </w:p>
    <w:p w14:paraId="44B02299" w14:textId="501D6646" w:rsidR="00F745EF" w:rsidRPr="00B4514A" w:rsidRDefault="00F745EF" w:rsidP="00700A74">
      <w:pPr>
        <w:pStyle w:val="a7"/>
        <w:numPr>
          <w:ilvl w:val="0"/>
          <w:numId w:val="2"/>
        </w:numPr>
        <w:spacing w:line="320" w:lineRule="atLeast"/>
        <w:ind w:leftChars="0"/>
        <w:rPr>
          <w:szCs w:val="24"/>
        </w:rPr>
      </w:pPr>
      <w:r>
        <w:rPr>
          <w:rFonts w:hint="eastAsia"/>
        </w:rPr>
        <w:t>1L d</w:t>
      </w:r>
      <w:r>
        <w:t>eionized water</w:t>
      </w:r>
    </w:p>
    <w:p w14:paraId="6FEFABD3" w14:textId="77777777" w:rsidR="004B2652" w:rsidRPr="004B2652" w:rsidRDefault="008357FC" w:rsidP="00700A74">
      <w:pPr>
        <w:pStyle w:val="a7"/>
        <w:numPr>
          <w:ilvl w:val="0"/>
          <w:numId w:val="2"/>
        </w:numPr>
        <w:spacing w:line="320" w:lineRule="atLeast"/>
        <w:ind w:leftChars="0"/>
        <w:rPr>
          <w:szCs w:val="24"/>
        </w:rPr>
      </w:pPr>
      <w:r>
        <w:t>dry potassium hydrogen phthalate (KHC8H4O4)</w:t>
      </w:r>
    </w:p>
    <w:p w14:paraId="2A24DD3E" w14:textId="3E65332B" w:rsidR="005008FD" w:rsidRPr="005008FD" w:rsidRDefault="005008FD" w:rsidP="005008FD">
      <w:pPr>
        <w:pStyle w:val="a7"/>
        <w:numPr>
          <w:ilvl w:val="0"/>
          <w:numId w:val="2"/>
        </w:numPr>
        <w:spacing w:line="320" w:lineRule="atLeast"/>
        <w:ind w:leftChars="0"/>
        <w:rPr>
          <w:szCs w:val="24"/>
        </w:rPr>
      </w:pPr>
      <m:oMath>
        <m:r>
          <w:rPr>
            <w:rFonts w:ascii="Cambria Math" w:hAnsi="Cambria Math"/>
          </w:rPr>
          <m:t>KH</m:t>
        </m:r>
        <m:sSub>
          <m:sSubPr>
            <m:ctrlPr>
              <w:rPr>
                <w:rFonts w:ascii="Cambria Math" w:hAnsi="Cambria Math"/>
                <w:i/>
              </w:rPr>
            </m:ctrlPr>
          </m:sSubPr>
          <m:e>
            <m:r>
              <w:rPr>
                <w:rFonts w:ascii="Cambria Math" w:hAnsi="Cambria Math"/>
              </w:rPr>
              <m:t>C</m:t>
            </m:r>
          </m:e>
          <m:sub>
            <m:r>
              <w:rPr>
                <w:rFonts w:ascii="Cambria Math" w:hAnsi="Cambria Math" w:hint="eastAsia"/>
              </w:rPr>
              <m:t>8</m:t>
            </m:r>
          </m:sub>
        </m:sSub>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hint="eastAsia"/>
              </w:rPr>
              <m:t>4</m:t>
            </m:r>
          </m:sub>
        </m:sSub>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hint="eastAsia"/>
              </w:rPr>
              <m:t>4</m:t>
            </m:r>
          </m:sub>
        </m:sSub>
        <m:d>
          <m:dPr>
            <m:ctrlPr>
              <w:rPr>
                <w:rFonts w:ascii="Cambria Math" w:hAnsi="Cambria Math"/>
                <w:i/>
              </w:rPr>
            </m:ctrlPr>
          </m:dPr>
          <m:e>
            <m:r>
              <w:rPr>
                <w:rFonts w:ascii="Cambria Math" w:hAnsi="Cambria Math"/>
              </w:rPr>
              <m:t>aq</m:t>
            </m:r>
          </m:e>
        </m:d>
        <m:r>
          <w:rPr>
            <w:rFonts w:ascii="Cambria Math" w:hAnsi="Cambria Math"/>
          </w:rPr>
          <m:t>+NaOH</m:t>
        </m:r>
        <m:d>
          <m:dPr>
            <m:ctrlPr>
              <w:rPr>
                <w:rFonts w:ascii="Cambria Math" w:hAnsi="Cambria Math"/>
                <w:i/>
              </w:rPr>
            </m:ctrlPr>
          </m:dPr>
          <m:e>
            <m:r>
              <w:rPr>
                <w:rFonts w:ascii="Cambria Math" w:hAnsi="Cambria Math"/>
              </w:rPr>
              <m:t>aq</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d>
          <m:dPr>
            <m:ctrlPr>
              <w:rPr>
                <w:rFonts w:ascii="Cambria Math" w:hAnsi="Cambria Math"/>
                <w:i/>
              </w:rPr>
            </m:ctrlPr>
          </m:dPr>
          <m:e>
            <m:r>
              <w:rPr>
                <w:rFonts w:ascii="Cambria Math" w:hAnsi="Cambria Math"/>
              </w:rPr>
              <m:t>l</m:t>
            </m:r>
          </m:e>
        </m:d>
        <m:r>
          <w:rPr>
            <w:rFonts w:ascii="Cambria Math" w:hAnsi="Cambria Math"/>
          </w:rPr>
          <m:t>+ Na</m:t>
        </m:r>
        <m:r>
          <w:rPr>
            <w:rFonts w:ascii="Cambria Math" w:hAnsi="Cambria Math" w:hint="eastAsia"/>
          </w:rPr>
          <m:t>K</m:t>
        </m:r>
        <m:sSub>
          <m:sSubPr>
            <m:ctrlPr>
              <w:rPr>
                <w:rFonts w:ascii="Cambria Math" w:hAnsi="Cambria Math"/>
                <w:i/>
              </w:rPr>
            </m:ctrlPr>
          </m:sSubPr>
          <m:e>
            <m:r>
              <w:rPr>
                <w:rFonts w:ascii="Cambria Math" w:hAnsi="Cambria Math" w:hint="eastAsia"/>
              </w:rPr>
              <m:t>C</m:t>
            </m:r>
            <m:ctrlPr>
              <w:rPr>
                <w:rFonts w:ascii="Cambria Math" w:hAnsi="Cambria Math" w:hint="eastAsia"/>
                <w:i/>
              </w:rPr>
            </m:ctrlPr>
          </m:e>
          <m:sub>
            <m:r>
              <w:rPr>
                <w:rFonts w:ascii="Cambria Math" w:hAnsi="Cambria Math" w:hint="eastAsia"/>
              </w:rPr>
              <m:t>8</m:t>
            </m:r>
          </m:sub>
        </m:sSub>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hint="eastAsia"/>
              </w:rPr>
              <m:t>4</m:t>
            </m:r>
          </m:sub>
        </m:sSub>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hint="eastAsia"/>
              </w:rPr>
              <m:t>4</m:t>
            </m:r>
          </m:sub>
        </m:sSub>
        <m:d>
          <m:dPr>
            <m:ctrlPr>
              <w:rPr>
                <w:rFonts w:ascii="Cambria Math" w:hAnsi="Cambria Math"/>
                <w:i/>
              </w:rPr>
            </m:ctrlPr>
          </m:dPr>
          <m:e>
            <m:r>
              <w:rPr>
                <w:rFonts w:ascii="Cambria Math" w:hAnsi="Cambria Math"/>
              </w:rPr>
              <m:t>aq</m:t>
            </m:r>
          </m:e>
        </m:d>
      </m:oMath>
    </w:p>
    <w:p w14:paraId="4B68C6C5" w14:textId="55D1F50A" w:rsidR="005008FD" w:rsidRPr="005008FD" w:rsidRDefault="005008FD" w:rsidP="005008FD">
      <w:pPr>
        <w:pStyle w:val="a7"/>
        <w:numPr>
          <w:ilvl w:val="0"/>
          <w:numId w:val="2"/>
        </w:numPr>
        <w:spacing w:line="320" w:lineRule="atLeast"/>
        <w:ind w:leftChars="0"/>
        <w:rPr>
          <w:szCs w:val="24"/>
        </w:rPr>
      </w:pPr>
      <m:oMath>
        <m:r>
          <w:rPr>
            <w:rFonts w:ascii="Cambria Math" w:hAnsi="Cambria Math"/>
            <w:szCs w:val="24"/>
          </w:rPr>
          <m:t>HA</m:t>
        </m:r>
        <m:d>
          <m:dPr>
            <m:ctrlPr>
              <w:rPr>
                <w:rFonts w:ascii="Cambria Math" w:hAnsi="Cambria Math"/>
                <w:i/>
                <w:szCs w:val="24"/>
              </w:rPr>
            </m:ctrlPr>
          </m:dPr>
          <m:e>
            <m:r>
              <w:rPr>
                <w:rFonts w:ascii="Cambria Math" w:hAnsi="Cambria Math"/>
                <w:szCs w:val="24"/>
              </w:rPr>
              <m:t>aq</m:t>
            </m:r>
          </m:e>
        </m:d>
        <m:r>
          <w:rPr>
            <w:rFonts w:ascii="Cambria Math" w:hAnsi="Cambria Math"/>
            <w:szCs w:val="24"/>
          </w:rPr>
          <m:t>+NaOH</m:t>
        </m:r>
        <m:d>
          <m:dPr>
            <m:ctrlPr>
              <w:rPr>
                <w:rFonts w:ascii="Cambria Math" w:hAnsi="Cambria Math"/>
                <w:i/>
                <w:szCs w:val="24"/>
              </w:rPr>
            </m:ctrlPr>
          </m:dPr>
          <m:e>
            <m:r>
              <w:rPr>
                <w:rFonts w:ascii="Cambria Math" w:hAnsi="Cambria Math"/>
                <w:szCs w:val="24"/>
              </w:rPr>
              <m:t>aq</m:t>
            </m:r>
          </m:e>
        </m:d>
        <m:r>
          <w:rPr>
            <w:rFonts w:ascii="Cambria Math" w:hAnsi="Cambria Math"/>
            <w:szCs w:val="24"/>
          </w:rPr>
          <m:t>→NaA</m:t>
        </m:r>
        <m:d>
          <m:dPr>
            <m:ctrlPr>
              <w:rPr>
                <w:rFonts w:ascii="Cambria Math" w:hAnsi="Cambria Math"/>
                <w:i/>
                <w:szCs w:val="24"/>
              </w:rPr>
            </m:ctrlPr>
          </m:dPr>
          <m:e>
            <m:r>
              <w:rPr>
                <w:rFonts w:ascii="Cambria Math" w:hAnsi="Cambria Math"/>
                <w:szCs w:val="24"/>
              </w:rPr>
              <m:t>aq</m:t>
            </m:r>
          </m:e>
        </m:d>
        <m:r>
          <w:rPr>
            <w:rFonts w:ascii="Cambria Math" w:hAnsi="Cambria Math"/>
            <w:szCs w:val="24"/>
          </w:rPr>
          <m:t>+</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2</m:t>
            </m:r>
          </m:sub>
        </m:sSub>
        <m:r>
          <w:rPr>
            <w:rFonts w:ascii="Cambria Math" w:hAnsi="Cambria Math"/>
            <w:szCs w:val="24"/>
          </w:rPr>
          <m:t>O</m:t>
        </m:r>
        <m:d>
          <m:dPr>
            <m:ctrlPr>
              <w:rPr>
                <w:rFonts w:ascii="Cambria Math" w:hAnsi="Cambria Math"/>
                <w:i/>
                <w:szCs w:val="24"/>
              </w:rPr>
            </m:ctrlPr>
          </m:dPr>
          <m:e>
            <m:r>
              <w:rPr>
                <w:rFonts w:ascii="Cambria Math" w:hAnsi="Cambria Math"/>
                <w:szCs w:val="24"/>
              </w:rPr>
              <m:t>l</m:t>
            </m:r>
          </m:e>
        </m:d>
      </m:oMath>
    </w:p>
    <w:p w14:paraId="72B2670F" w14:textId="6C584351" w:rsidR="005008FD" w:rsidRPr="005008FD" w:rsidRDefault="00000000" w:rsidP="005008FD">
      <w:pPr>
        <w:pStyle w:val="a7"/>
        <w:numPr>
          <w:ilvl w:val="0"/>
          <w:numId w:val="2"/>
        </w:numPr>
        <w:spacing w:line="320" w:lineRule="atLeast"/>
        <w:ind w:leftChars="0"/>
        <w:rPr>
          <w:szCs w:val="24"/>
        </w:rPr>
      </w:pPr>
      <m:oMath>
        <m:sSub>
          <m:sSubPr>
            <m:ctrlPr>
              <w:rPr>
                <w:rFonts w:ascii="Cambria Math" w:hAnsi="Cambria Math"/>
                <w:i/>
                <w:szCs w:val="24"/>
              </w:rPr>
            </m:ctrlPr>
          </m:sSubPr>
          <m:e>
            <m:r>
              <w:rPr>
                <w:rFonts w:ascii="Cambria Math" w:hAnsi="Cambria Math"/>
                <w:szCs w:val="24"/>
              </w:rPr>
              <m:t>H</m:t>
            </m:r>
          </m:e>
          <m:sub>
            <m:r>
              <w:rPr>
                <w:rFonts w:ascii="Cambria Math" w:hAnsi="Cambria Math"/>
                <w:szCs w:val="24"/>
              </w:rPr>
              <m:t>2</m:t>
            </m:r>
          </m:sub>
        </m:sSub>
        <m:r>
          <w:rPr>
            <w:rFonts w:ascii="Cambria Math" w:hAnsi="Cambria Math"/>
            <w:szCs w:val="24"/>
          </w:rPr>
          <m:t>A</m:t>
        </m:r>
        <m:d>
          <m:dPr>
            <m:ctrlPr>
              <w:rPr>
                <w:rFonts w:ascii="Cambria Math" w:hAnsi="Cambria Math"/>
                <w:i/>
                <w:szCs w:val="24"/>
              </w:rPr>
            </m:ctrlPr>
          </m:dPr>
          <m:e>
            <m:r>
              <w:rPr>
                <w:rFonts w:ascii="Cambria Math" w:hAnsi="Cambria Math"/>
                <w:szCs w:val="24"/>
              </w:rPr>
              <m:t>aq</m:t>
            </m:r>
          </m:e>
        </m:d>
        <m:r>
          <w:rPr>
            <w:rFonts w:ascii="Cambria Math" w:hAnsi="Cambria Math"/>
            <w:szCs w:val="24"/>
          </w:rPr>
          <m:t>+2 NaOH</m:t>
        </m:r>
        <m:d>
          <m:dPr>
            <m:ctrlPr>
              <w:rPr>
                <w:rFonts w:ascii="Cambria Math" w:hAnsi="Cambria Math"/>
                <w:i/>
                <w:szCs w:val="24"/>
              </w:rPr>
            </m:ctrlPr>
          </m:dPr>
          <m:e>
            <m:r>
              <w:rPr>
                <w:rFonts w:ascii="Cambria Math" w:hAnsi="Cambria Math"/>
                <w:szCs w:val="24"/>
              </w:rPr>
              <m:t>aq</m:t>
            </m:r>
          </m:e>
        </m:d>
        <m:r>
          <w:rPr>
            <w:rFonts w:ascii="Cambria Math" w:hAnsi="Cambria Math"/>
            <w:szCs w:val="24"/>
          </w:rPr>
          <m:t>→N</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A</m:t>
        </m:r>
        <m:d>
          <m:dPr>
            <m:ctrlPr>
              <w:rPr>
                <w:rFonts w:ascii="Cambria Math" w:hAnsi="Cambria Math"/>
                <w:i/>
                <w:szCs w:val="24"/>
              </w:rPr>
            </m:ctrlPr>
          </m:dPr>
          <m:e>
            <m:r>
              <w:rPr>
                <w:rFonts w:ascii="Cambria Math" w:hAnsi="Cambria Math"/>
                <w:szCs w:val="24"/>
              </w:rPr>
              <m:t>aq</m:t>
            </m:r>
          </m:e>
        </m:d>
        <m:r>
          <w:rPr>
            <w:rFonts w:ascii="Cambria Math" w:hAnsi="Cambria Math"/>
            <w:szCs w:val="24"/>
          </w:rPr>
          <m:t xml:space="preserve">+2 </m:t>
        </m:r>
        <m:sSub>
          <m:sSubPr>
            <m:ctrlPr>
              <w:rPr>
                <w:rFonts w:ascii="Cambria Math" w:hAnsi="Cambria Math"/>
                <w:i/>
                <w:szCs w:val="24"/>
              </w:rPr>
            </m:ctrlPr>
          </m:sSubPr>
          <m:e>
            <m:r>
              <w:rPr>
                <w:rFonts w:ascii="Cambria Math" w:hAnsi="Cambria Math"/>
                <w:szCs w:val="24"/>
              </w:rPr>
              <m:t>H</m:t>
            </m:r>
          </m:e>
          <m:sub>
            <m:r>
              <w:rPr>
                <w:rFonts w:ascii="Cambria Math" w:hAnsi="Cambria Math"/>
                <w:szCs w:val="24"/>
              </w:rPr>
              <m:t>2</m:t>
            </m:r>
          </m:sub>
        </m:sSub>
        <m:r>
          <w:rPr>
            <w:rFonts w:ascii="Cambria Math" w:hAnsi="Cambria Math"/>
            <w:szCs w:val="24"/>
          </w:rPr>
          <m:t>O</m:t>
        </m:r>
        <m:d>
          <m:dPr>
            <m:ctrlPr>
              <w:rPr>
                <w:rFonts w:ascii="Cambria Math" w:hAnsi="Cambria Math"/>
                <w:i/>
                <w:szCs w:val="24"/>
              </w:rPr>
            </m:ctrlPr>
          </m:dPr>
          <m:e>
            <m:r>
              <w:rPr>
                <w:rFonts w:ascii="Cambria Math" w:hAnsi="Cambria Math"/>
                <w:szCs w:val="24"/>
              </w:rPr>
              <m:t>l</m:t>
            </m:r>
          </m:e>
        </m:d>
      </m:oMath>
    </w:p>
    <w:p w14:paraId="61031B15" w14:textId="77777777" w:rsidR="00AB54E9" w:rsidRPr="00BB190E" w:rsidRDefault="00AB54E9" w:rsidP="00B3026A">
      <w:pPr>
        <w:spacing w:line="320" w:lineRule="atLeast"/>
        <w:rPr>
          <w:b/>
          <w:bCs/>
          <w:sz w:val="32"/>
        </w:rPr>
      </w:pPr>
      <w:r w:rsidRPr="00BB190E">
        <w:rPr>
          <w:b/>
          <w:bCs/>
          <w:sz w:val="32"/>
        </w:rPr>
        <w:t>Procedure:</w:t>
      </w:r>
    </w:p>
    <w:p w14:paraId="4F8167F3" w14:textId="77777777" w:rsidR="00D9728F" w:rsidRPr="00D9728F" w:rsidRDefault="001C5D79" w:rsidP="000B5F86">
      <w:pPr>
        <w:pStyle w:val="a7"/>
        <w:numPr>
          <w:ilvl w:val="0"/>
          <w:numId w:val="3"/>
        </w:numPr>
        <w:ind w:leftChars="0"/>
        <w:rPr>
          <w:rFonts w:ascii="Arial" w:hAnsi="Arial" w:cs="Arial"/>
          <w:szCs w:val="24"/>
        </w:rPr>
      </w:pPr>
      <w:r w:rsidRPr="00AD17F2">
        <w:rPr>
          <w:rFonts w:ascii="Arial" w:hAnsi="Arial" w:cs="Arial"/>
          <w:b/>
          <w:bCs/>
          <w:szCs w:val="24"/>
        </w:rPr>
        <w:t>Safety precautions</w:t>
      </w:r>
    </w:p>
    <w:p w14:paraId="0D4A1117" w14:textId="4391166F" w:rsidR="000B5F86" w:rsidRPr="00D9728F" w:rsidRDefault="000B5F86" w:rsidP="00D9728F">
      <w:pPr>
        <w:pStyle w:val="a7"/>
        <w:numPr>
          <w:ilvl w:val="1"/>
          <w:numId w:val="3"/>
        </w:numPr>
        <w:ind w:leftChars="0"/>
        <w:rPr>
          <w:rFonts w:ascii="Arial" w:hAnsi="Arial" w:cs="Arial"/>
          <w:szCs w:val="24"/>
        </w:rPr>
      </w:pPr>
      <w:r>
        <w:rPr>
          <w:rFonts w:hint="eastAsia"/>
        </w:rPr>
        <w:t>D</w:t>
      </w:r>
      <w:r>
        <w:t>on’t stand on a lab stool to read the meniscus</w:t>
      </w:r>
    </w:p>
    <w:p w14:paraId="3016791E" w14:textId="77777777" w:rsidR="00D9728F" w:rsidRPr="00D9728F" w:rsidRDefault="00D9728F" w:rsidP="00D9728F">
      <w:pPr>
        <w:rPr>
          <w:rFonts w:ascii="Arial" w:hAnsi="Arial" w:cs="Arial" w:hint="eastAsia"/>
          <w:szCs w:val="24"/>
        </w:rPr>
      </w:pPr>
    </w:p>
    <w:p w14:paraId="2B97AAFC" w14:textId="6EB41301" w:rsidR="001B29FD" w:rsidRDefault="00A64043" w:rsidP="001B29FD">
      <w:pPr>
        <w:pStyle w:val="a7"/>
        <w:numPr>
          <w:ilvl w:val="0"/>
          <w:numId w:val="4"/>
        </w:numPr>
        <w:ind w:leftChars="0"/>
      </w:pPr>
      <w:r>
        <w:rPr>
          <w:rFonts w:hint="eastAsia"/>
        </w:rPr>
        <w:t>T</w:t>
      </w:r>
      <w:r>
        <w:t>he Standardization of a Sodium Hydroxide Solution</w:t>
      </w:r>
    </w:p>
    <w:p w14:paraId="596C4240" w14:textId="349F0EEB" w:rsidR="00F745EF" w:rsidRDefault="00F745EF" w:rsidP="00F745EF">
      <w:pPr>
        <w:pStyle w:val="a7"/>
        <w:numPr>
          <w:ilvl w:val="1"/>
          <w:numId w:val="4"/>
        </w:numPr>
        <w:ind w:leftChars="0"/>
      </w:pPr>
      <w:r>
        <w:t>Dry the primary standard acid. Dry 2–3 g of KHC</w:t>
      </w:r>
      <w:r w:rsidRPr="00F745EF">
        <w:rPr>
          <w:vertAlign w:val="subscript"/>
        </w:rPr>
        <w:t>8</w:t>
      </w:r>
      <w:r>
        <w:t>H</w:t>
      </w:r>
      <w:r w:rsidRPr="00F745EF">
        <w:rPr>
          <w:vertAlign w:val="subscript"/>
        </w:rPr>
        <w:t>4</w:t>
      </w:r>
      <w:r>
        <w:t>O</w:t>
      </w:r>
      <w:r w:rsidRPr="00F745EF">
        <w:rPr>
          <w:vertAlign w:val="subscript"/>
        </w:rPr>
        <w:t>4</w:t>
      </w:r>
      <w:r>
        <w:t xml:space="preserve"> at 110°C for several hours in a constant-temperature drying oven. Cool the sample in a desiccator.</w:t>
      </w:r>
    </w:p>
    <w:p w14:paraId="03EB0876" w14:textId="1AAF7E3E" w:rsidR="00F745EF" w:rsidRDefault="00F745EF" w:rsidP="00F745EF">
      <w:pPr>
        <w:pStyle w:val="a7"/>
        <w:numPr>
          <w:ilvl w:val="1"/>
          <w:numId w:val="4"/>
        </w:numPr>
        <w:ind w:leftChars="0"/>
      </w:pPr>
      <w:r>
        <w:t>Prepare an approximate 0.15 M NaOH solution. Calculate and measure on a balance (±0.01g) the mass of NaOH required to prepare 500 mL of a 0.15 M NaOH solution. Fill a 500 mL polyethylene bottle about 1/3 full with previously boiled, deionized water cooled to room temperature. Add the solid NaOH in the 500 mL polyethylene bottl</w:t>
      </w:r>
      <w:r>
        <w:t>e</w:t>
      </w:r>
      <w:r>
        <w:t xml:space="preserve">. Swirl the solution (do not shake!). Finally, dilute the </w:t>
      </w:r>
      <w:r>
        <w:lastRenderedPageBreak/>
        <w:t>volume to ~500 mL with the previously boiled, deionized water. Cap the polyethylene bottle to prevent the absorption of CO</w:t>
      </w:r>
      <w:r w:rsidRPr="00F745EF">
        <w:rPr>
          <w:vertAlign w:val="subscript"/>
        </w:rPr>
        <w:t>2</w:t>
      </w:r>
      <w:r>
        <w:t xml:space="preserve"> and label the bottle.</w:t>
      </w:r>
    </w:p>
    <w:p w14:paraId="0361BFCA" w14:textId="77777777" w:rsidR="00F745EF" w:rsidRDefault="00F745EF" w:rsidP="00F745EF">
      <w:pPr>
        <w:pStyle w:val="a7"/>
        <w:numPr>
          <w:ilvl w:val="1"/>
          <w:numId w:val="4"/>
        </w:numPr>
        <w:ind w:leftChars="0"/>
      </w:pPr>
      <w:r>
        <w:t>Prepare the primary standard acid.</w:t>
      </w:r>
    </w:p>
    <w:p w14:paraId="3DFC0023" w14:textId="6C8AA4EB" w:rsidR="00F745EF" w:rsidRDefault="00F745EF" w:rsidP="00F745EF">
      <w:pPr>
        <w:pStyle w:val="a7"/>
        <w:numPr>
          <w:ilvl w:val="2"/>
          <w:numId w:val="4"/>
        </w:numPr>
        <w:ind w:leftChars="0"/>
      </w:pPr>
      <w:r>
        <w:t>Calculate the mass of KHC</w:t>
      </w:r>
      <w:r w:rsidRPr="00F745EF">
        <w:rPr>
          <w:vertAlign w:val="subscript"/>
        </w:rPr>
        <w:t>8</w:t>
      </w:r>
      <w:r>
        <w:t>H</w:t>
      </w:r>
      <w:r w:rsidRPr="00F745EF">
        <w:rPr>
          <w:vertAlign w:val="subscript"/>
        </w:rPr>
        <w:t>4</w:t>
      </w:r>
      <w:r>
        <w:t>O</w:t>
      </w:r>
      <w:r w:rsidRPr="00F745EF">
        <w:rPr>
          <w:vertAlign w:val="subscript"/>
        </w:rPr>
        <w:t>4</w:t>
      </w:r>
      <w:r>
        <w:t xml:space="preserve"> that will require about 15–20 mL of your diluted NaOH solution to reach the stoichiometric point.</w:t>
      </w:r>
    </w:p>
    <w:p w14:paraId="6F7317C6" w14:textId="4CCB7497" w:rsidR="00F745EF" w:rsidRDefault="00F745EF" w:rsidP="00F745EF">
      <w:pPr>
        <w:pStyle w:val="a7"/>
        <w:numPr>
          <w:ilvl w:val="2"/>
          <w:numId w:val="4"/>
        </w:numPr>
        <w:ind w:leftChars="0"/>
      </w:pPr>
      <w:r>
        <w:t>Measure this mass (±0.001 g) of KHC</w:t>
      </w:r>
      <w:r w:rsidRPr="00F745EF">
        <w:rPr>
          <w:vertAlign w:val="subscript"/>
        </w:rPr>
        <w:t>8</w:t>
      </w:r>
      <w:r>
        <w:t>H</w:t>
      </w:r>
      <w:r w:rsidRPr="00F745EF">
        <w:rPr>
          <w:vertAlign w:val="subscript"/>
        </w:rPr>
        <w:t>4</w:t>
      </w:r>
      <w:r>
        <w:t>O</w:t>
      </w:r>
      <w:r w:rsidRPr="00F745EF">
        <w:rPr>
          <w:vertAlign w:val="subscript"/>
        </w:rPr>
        <w:t>4</w:t>
      </w:r>
      <w:r>
        <w:t xml:space="preserve"> on a tared piece of weighing paper (Figure 9.3) and transfer it to a clean, labeled Erlenmeyer flask. Complete the preparation of all three samples while you are occupying the balance. Dissolve the KHC</w:t>
      </w:r>
      <w:r w:rsidRPr="00F745EF">
        <w:rPr>
          <w:vertAlign w:val="subscript"/>
        </w:rPr>
        <w:t>8</w:t>
      </w:r>
      <w:r>
        <w:t>H</w:t>
      </w:r>
      <w:r w:rsidRPr="00F745EF">
        <w:rPr>
          <w:vertAlign w:val="subscript"/>
        </w:rPr>
        <w:t>4</w:t>
      </w:r>
      <w:r>
        <w:t>O</w:t>
      </w:r>
      <w:r w:rsidRPr="00F745EF">
        <w:rPr>
          <w:vertAlign w:val="subscript"/>
        </w:rPr>
        <w:t>4</w:t>
      </w:r>
      <w:r>
        <w:t xml:space="preserve"> in about 50 mL of previously boiled, deionized water and add 2 drops of phenolphthalein.</w:t>
      </w:r>
    </w:p>
    <w:p w14:paraId="3444B0D4" w14:textId="51BB681A" w:rsidR="00F745EF" w:rsidRDefault="00F745EF" w:rsidP="00F745EF">
      <w:pPr>
        <w:pStyle w:val="a7"/>
        <w:numPr>
          <w:ilvl w:val="1"/>
          <w:numId w:val="4"/>
        </w:numPr>
        <w:ind w:leftChars="0"/>
      </w:pPr>
      <w:r>
        <w:t>Prepare a clean buret. Wash a 50-mL buret and funnel thoroughly with soap and water using a long buret brush. Flush the buret with tap water and rinse several times with deionized water. Rinse the buret with three 5-mL portions of the diluted NaOH solution, making certain that the solution wets the entire inner surface. Drain each rinse through the buret tip. Discard each rinse in the Waste Bases container.</w:t>
      </w:r>
    </w:p>
    <w:p w14:paraId="49063120" w14:textId="7EAA06D0" w:rsidR="00F745EF" w:rsidRDefault="00F745EF" w:rsidP="00F745EF">
      <w:pPr>
        <w:pStyle w:val="a7"/>
        <w:numPr>
          <w:ilvl w:val="1"/>
          <w:numId w:val="4"/>
        </w:numPr>
        <w:ind w:leftChars="0"/>
      </w:pPr>
      <w:r>
        <w:t>Fill the buret. Using a clean funnel, fill the buret with the NaOH solution. After 10–15 seconds, read the volume by viewing the bottom of the meniscus with the aid of a black line drawn on a white car</w:t>
      </w:r>
      <w:r w:rsidR="000B5F86">
        <w:rPr>
          <w:rFonts w:hint="eastAsia"/>
        </w:rPr>
        <w:t>d</w:t>
      </w:r>
      <w:r>
        <w:t>. Record this initial volume according to the guideline in Technique 16A.2, using all certain digits (from the labeled calibration marks on the glassware) plus one uncertain digit (the last digit which is the best estimate between the calibration marks). Place a sheet of white paper beneath the Erlenmeyer flask.</w:t>
      </w:r>
    </w:p>
    <w:p w14:paraId="273BA1E3" w14:textId="10AB8D63" w:rsidR="00F745EF" w:rsidRDefault="00F745EF" w:rsidP="00F745EF">
      <w:pPr>
        <w:pStyle w:val="a7"/>
        <w:numPr>
          <w:ilvl w:val="1"/>
          <w:numId w:val="4"/>
        </w:numPr>
        <w:ind w:leftChars="0"/>
      </w:pPr>
      <w:r>
        <w:t>Titrate the primary standard acid. Slowly add the NaOH titrant to the first acid sample prepared in Part A.3. Swirl the flask after each addition. Initially, add the NaOH solution in 1- to 2-mL increments. As the stoichiometric point nears, the color fade of the indicator occurs more slowly. Occasionally rinse the wall of the flask with (previously boiled, deionized) water from your wash bottle. Continue addition of the NaOH titrant until the endpoint is reached. The endpoint in the titration should be within one-half drop of a slight pink color. The color should persist for 30 seconds. After 10–15 seconds, read and record the final volume of NaOH in the buret.</w:t>
      </w:r>
    </w:p>
    <w:p w14:paraId="59186D23" w14:textId="77777777" w:rsidR="00F745EF" w:rsidRDefault="00F745EF" w:rsidP="00F745EF">
      <w:pPr>
        <w:pStyle w:val="a7"/>
        <w:numPr>
          <w:ilvl w:val="1"/>
          <w:numId w:val="4"/>
        </w:numPr>
        <w:ind w:leftChars="0"/>
      </w:pPr>
      <w:r>
        <w:t>Repeat the analysis with the remaining standard acid samples. Refill the buret and repeat the titration with the remaining two samples prepared in Part A.3.</w:t>
      </w:r>
    </w:p>
    <w:p w14:paraId="5E910B42" w14:textId="205BD147" w:rsidR="00F745EF" w:rsidRDefault="00F745EF" w:rsidP="00F745EF">
      <w:pPr>
        <w:pStyle w:val="a7"/>
        <w:numPr>
          <w:ilvl w:val="1"/>
          <w:numId w:val="4"/>
        </w:numPr>
        <w:ind w:leftChars="0"/>
      </w:pPr>
      <w:r>
        <w:t>Do the calculations. Calculate the molar concentration of the diluted NaOH solution. The molar concentrations of the NaOH solution from the three analyses should be within ±1%. Place a corresponding label on the 500-mL polyethylene bottle</w:t>
      </w:r>
    </w:p>
    <w:p w14:paraId="7D78611D" w14:textId="675401DC" w:rsidR="000B5F86" w:rsidRDefault="000B5F86" w:rsidP="000B5F86">
      <w:pPr>
        <w:pStyle w:val="a7"/>
        <w:numPr>
          <w:ilvl w:val="0"/>
          <w:numId w:val="4"/>
        </w:numPr>
        <w:ind w:leftChars="0"/>
      </w:pPr>
      <w:r>
        <w:lastRenderedPageBreak/>
        <w:t>Molar Concentration of an Acid Solution</w:t>
      </w:r>
    </w:p>
    <w:p w14:paraId="1E31FA3A" w14:textId="77777777" w:rsidR="000B5F86" w:rsidRDefault="000B5F86" w:rsidP="000B5F86">
      <w:pPr>
        <w:pStyle w:val="a7"/>
        <w:numPr>
          <w:ilvl w:val="1"/>
          <w:numId w:val="4"/>
        </w:numPr>
        <w:ind w:leftChars="0"/>
      </w:pPr>
      <w:r>
        <w:t>Prepare the acid samples of unknown concentration. In an Erlenmeyer flask, pipet 25.00 mL of the acid solution. Add 2 drops of phenolphthalein.</w:t>
      </w:r>
    </w:p>
    <w:p w14:paraId="670567FE" w14:textId="63700C6C" w:rsidR="000B5F86" w:rsidRDefault="000B5F86" w:rsidP="000B5F86">
      <w:pPr>
        <w:pStyle w:val="a7"/>
        <w:numPr>
          <w:ilvl w:val="1"/>
          <w:numId w:val="4"/>
        </w:numPr>
        <w:ind w:leftChars="0"/>
      </w:pPr>
      <w:r>
        <w:t>Fill the buret and titrate. Refill the buret with the standardized NaOH solution and, after 10–15 seconds, read and record the initial volume. Refer to Parts A.5 and A.6. Titrate the acid sample to the phenolphthalein endpoint. Read and record the final volume of titrant.</w:t>
      </w:r>
    </w:p>
    <w:p w14:paraId="4E17E2E1" w14:textId="77777777" w:rsidR="000B5F86" w:rsidRDefault="000B5F86" w:rsidP="000B5F86">
      <w:pPr>
        <w:pStyle w:val="a7"/>
        <w:numPr>
          <w:ilvl w:val="1"/>
          <w:numId w:val="4"/>
        </w:numPr>
        <w:ind w:leftChars="0"/>
      </w:pPr>
      <w:r>
        <w:t>Repeat. Similarly titrate the remaining samples of the acid solution.</w:t>
      </w:r>
    </w:p>
    <w:p w14:paraId="1CD835CE" w14:textId="6026DDCD" w:rsidR="000B5F86" w:rsidRDefault="000B5F86" w:rsidP="000B5F86">
      <w:pPr>
        <w:pStyle w:val="a7"/>
        <w:numPr>
          <w:ilvl w:val="1"/>
          <w:numId w:val="4"/>
        </w:numPr>
        <w:ind w:leftChars="0"/>
      </w:pPr>
      <w:r>
        <w:t>Calculations. Calculate the average molar concentration of your acid unknown.</w:t>
      </w:r>
    </w:p>
    <w:p w14:paraId="61513E2E" w14:textId="1AA24EDE" w:rsidR="003D5271" w:rsidRPr="00BB190E" w:rsidRDefault="003D5271" w:rsidP="003D5271">
      <w:pPr>
        <w:spacing w:line="320" w:lineRule="atLeast"/>
        <w:rPr>
          <w:b/>
          <w:bCs/>
          <w:sz w:val="32"/>
        </w:rPr>
      </w:pPr>
      <w:r w:rsidRPr="00BB190E">
        <w:rPr>
          <w:b/>
          <w:bCs/>
          <w:sz w:val="32"/>
        </w:rPr>
        <w:t>Calculations</w:t>
      </w:r>
      <w:r w:rsidR="00D849FE">
        <w:rPr>
          <w:rFonts w:hint="eastAsia"/>
          <w:b/>
          <w:bCs/>
          <w:sz w:val="32"/>
        </w:rPr>
        <w:t xml:space="preserve"> (</w:t>
      </w:r>
      <w:r w:rsidR="00D849FE">
        <w:rPr>
          <w:b/>
          <w:bCs/>
          <w:sz w:val="32"/>
        </w:rPr>
        <w:t>if any</w:t>
      </w:r>
      <w:r w:rsidR="00D849FE">
        <w:rPr>
          <w:rFonts w:hint="eastAsia"/>
          <w:b/>
          <w:bCs/>
          <w:sz w:val="32"/>
        </w:rPr>
        <w:t>)</w:t>
      </w:r>
      <w:r w:rsidRPr="00BB190E">
        <w:rPr>
          <w:b/>
          <w:bCs/>
          <w:sz w:val="32"/>
        </w:rPr>
        <w:t>:</w:t>
      </w:r>
    </w:p>
    <w:p w14:paraId="1B3CB74D" w14:textId="36591CD6" w:rsidR="00C92A5C" w:rsidRPr="00C92A5C" w:rsidRDefault="00C92A5C" w:rsidP="00C92A5C">
      <w:pPr>
        <w:pStyle w:val="a7"/>
        <w:numPr>
          <w:ilvl w:val="0"/>
          <w:numId w:val="3"/>
        </w:numPr>
        <w:ind w:leftChars="0"/>
      </w:pPr>
      <m:oMath>
        <m:r>
          <w:rPr>
            <w:rFonts w:ascii="Cambria Math" w:hAnsi="Cambria Math"/>
          </w:rPr>
          <m:t>mass</m:t>
        </m:r>
        <m:d>
          <m:dPr>
            <m:ctrlPr>
              <w:rPr>
                <w:rFonts w:ascii="Cambria Math" w:hAnsi="Cambria Math"/>
                <w:i/>
              </w:rPr>
            </m:ctrlPr>
          </m:dPr>
          <m:e>
            <m:r>
              <w:rPr>
                <w:rFonts w:ascii="Cambria Math" w:hAnsi="Cambria Math"/>
              </w:rPr>
              <m:t>g</m:t>
            </m:r>
          </m:e>
        </m:d>
        <m:r>
          <w:rPr>
            <w:rFonts w:ascii="Cambria Math" w:hAnsi="Cambria Math" w:hint="eastAsia"/>
          </w:rPr>
          <m:t xml:space="preserve"> </m:t>
        </m:r>
        <m:r>
          <w:rPr>
            <w:rFonts w:ascii="Cambria Math" w:hAnsi="Cambria Math"/>
          </w:rPr>
          <m:t>KH</m:t>
        </m:r>
        <m:sSub>
          <m:sSubPr>
            <m:ctrlPr>
              <w:rPr>
                <w:rFonts w:ascii="Cambria Math" w:hAnsi="Cambria Math"/>
                <w:i/>
              </w:rPr>
            </m:ctrlPr>
          </m:sSubPr>
          <m:e>
            <m:r>
              <w:rPr>
                <w:rFonts w:ascii="Cambria Math" w:hAnsi="Cambria Math"/>
              </w:rPr>
              <m:t>C</m:t>
            </m:r>
          </m:e>
          <m:sub>
            <m:r>
              <w:rPr>
                <w:rFonts w:ascii="Cambria Math" w:hAnsi="Cambria Math" w:hint="eastAsia"/>
              </w:rPr>
              <m:t>8</m:t>
            </m:r>
          </m:sub>
        </m:sSub>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hint="eastAsia"/>
              </w:rPr>
              <m:t>4</m:t>
            </m:r>
          </m:sub>
        </m:sSub>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hint="eastAsia"/>
              </w:rPr>
              <m:t>4</m:t>
            </m:r>
          </m:sub>
        </m:sSub>
        <m:r>
          <m:rPr>
            <m:sty m:val="p"/>
          </m:rPr>
          <w:rPr>
            <w:rFonts w:ascii="Cambria Math" w:hAnsi="Cambria Math" w:hint="eastAsia"/>
          </w:rPr>
          <m:t>×</m:t>
        </m:r>
        <m:f>
          <m:fPr>
            <m:ctrlPr>
              <w:rPr>
                <w:rFonts w:ascii="Cambria Math" w:hAnsi="Cambria Math"/>
              </w:rPr>
            </m:ctrlPr>
          </m:fPr>
          <m:num>
            <m:r>
              <w:rPr>
                <w:rFonts w:ascii="Cambria Math" w:hAnsi="Cambria Math"/>
              </w:rPr>
              <m:t>mol KH</m:t>
            </m:r>
            <m:sSub>
              <m:sSubPr>
                <m:ctrlPr>
                  <w:rPr>
                    <w:rFonts w:ascii="Cambria Math" w:hAnsi="Cambria Math"/>
                    <w:i/>
                  </w:rPr>
                </m:ctrlPr>
              </m:sSubPr>
              <m:e>
                <m:r>
                  <w:rPr>
                    <w:rFonts w:ascii="Cambria Math" w:hAnsi="Cambria Math"/>
                  </w:rPr>
                  <m:t>C</m:t>
                </m:r>
              </m:e>
              <m:sub>
                <m:r>
                  <w:rPr>
                    <w:rFonts w:ascii="Cambria Math" w:hAnsi="Cambria Math" w:hint="eastAsia"/>
                  </w:rPr>
                  <m:t>8</m:t>
                </m:r>
              </m:sub>
            </m:sSub>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hint="eastAsia"/>
                  </w:rPr>
                  <m:t>4</m:t>
                </m:r>
              </m:sub>
            </m:sSub>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hint="eastAsia"/>
                  </w:rPr>
                  <m:t>4</m:t>
                </m:r>
              </m:sub>
            </m:sSub>
          </m:num>
          <m:den>
            <m:r>
              <w:rPr>
                <w:rFonts w:ascii="Cambria Math" w:hAnsi="Cambria Math"/>
              </w:rPr>
              <m:t>204.23 g KH</m:t>
            </m:r>
            <m:sSub>
              <m:sSubPr>
                <m:ctrlPr>
                  <w:rPr>
                    <w:rFonts w:ascii="Cambria Math" w:hAnsi="Cambria Math"/>
                    <w:i/>
                  </w:rPr>
                </m:ctrlPr>
              </m:sSubPr>
              <m:e>
                <m:r>
                  <w:rPr>
                    <w:rFonts w:ascii="Cambria Math" w:hAnsi="Cambria Math"/>
                  </w:rPr>
                  <m:t>C</m:t>
                </m:r>
              </m:e>
              <m:sub>
                <m:r>
                  <w:rPr>
                    <w:rFonts w:ascii="Cambria Math" w:hAnsi="Cambria Math" w:hint="eastAsia"/>
                  </w:rPr>
                  <m:t>8</m:t>
                </m:r>
              </m:sub>
            </m:sSub>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hint="eastAsia"/>
                  </w:rPr>
                  <m:t>4</m:t>
                </m:r>
              </m:sub>
            </m:sSub>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hint="eastAsia"/>
                  </w:rPr>
                  <m:t>4</m:t>
                </m:r>
              </m:sub>
            </m:sSub>
          </m:den>
        </m:f>
        <m:r>
          <w:rPr>
            <w:rFonts w:ascii="Cambria Math" w:hAnsi="Cambria Math"/>
          </w:rPr>
          <m:t>=mol</m:t>
        </m:r>
        <m:r>
          <w:rPr>
            <w:rFonts w:ascii="Cambria Math" w:hAnsi="Cambria Math" w:hint="eastAsia"/>
          </w:rPr>
          <m:t xml:space="preserve"> </m:t>
        </m:r>
        <m:r>
          <w:rPr>
            <w:rFonts w:ascii="Cambria Math" w:hAnsi="Cambria Math"/>
          </w:rPr>
          <m:t>KH</m:t>
        </m:r>
        <m:sSub>
          <m:sSubPr>
            <m:ctrlPr>
              <w:rPr>
                <w:rFonts w:ascii="Cambria Math" w:hAnsi="Cambria Math"/>
                <w:i/>
              </w:rPr>
            </m:ctrlPr>
          </m:sSubPr>
          <m:e>
            <m:r>
              <w:rPr>
                <w:rFonts w:ascii="Cambria Math" w:hAnsi="Cambria Math"/>
              </w:rPr>
              <m:t>C</m:t>
            </m:r>
          </m:e>
          <m:sub>
            <m:r>
              <w:rPr>
                <w:rFonts w:ascii="Cambria Math" w:hAnsi="Cambria Math" w:hint="eastAsia"/>
              </w:rPr>
              <m:t>8</m:t>
            </m:r>
          </m:sub>
        </m:sSub>
        <m:sSub>
          <m:sSubPr>
            <m:ctrlPr>
              <w:rPr>
                <w:rFonts w:ascii="Cambria Math" w:hAnsi="Cambria Math"/>
                <w:i/>
              </w:rPr>
            </m:ctrlPr>
          </m:sSubPr>
          <m:e>
            <m:r>
              <w:rPr>
                <w:rFonts w:ascii="Cambria Math" w:hAnsi="Cambria Math" w:hint="eastAsia"/>
              </w:rPr>
              <m:t>H</m:t>
            </m:r>
            <m:ctrlPr>
              <w:rPr>
                <w:rFonts w:ascii="Cambria Math" w:hAnsi="Cambria Math" w:hint="eastAsia"/>
                <w:i/>
              </w:rPr>
            </m:ctrlPr>
          </m:e>
          <m:sub>
            <m:r>
              <w:rPr>
                <w:rFonts w:ascii="Cambria Math" w:hAnsi="Cambria Math" w:hint="eastAsia"/>
              </w:rPr>
              <m:t>4</m:t>
            </m:r>
          </m:sub>
        </m:sSub>
        <m:sSub>
          <m:sSubPr>
            <m:ctrlPr>
              <w:rPr>
                <w:rFonts w:ascii="Cambria Math" w:hAnsi="Cambria Math"/>
                <w:i/>
              </w:rPr>
            </m:ctrlPr>
          </m:sSubPr>
          <m:e>
            <m:r>
              <w:rPr>
                <w:rFonts w:ascii="Cambria Math" w:hAnsi="Cambria Math" w:hint="eastAsia"/>
              </w:rPr>
              <m:t>O</m:t>
            </m:r>
            <m:ctrlPr>
              <w:rPr>
                <w:rFonts w:ascii="Cambria Math" w:hAnsi="Cambria Math" w:hint="eastAsia"/>
                <w:i/>
              </w:rPr>
            </m:ctrlPr>
          </m:e>
          <m:sub>
            <m:r>
              <w:rPr>
                <w:rFonts w:ascii="Cambria Math" w:hAnsi="Cambria Math" w:hint="eastAsia"/>
              </w:rPr>
              <m:t>4</m:t>
            </m:r>
          </m:sub>
        </m:sSub>
      </m:oMath>
    </w:p>
    <w:p w14:paraId="504B22F8" w14:textId="014DF8E5" w:rsidR="00C92A5C" w:rsidRDefault="004B2652" w:rsidP="00C92A5C">
      <w:pPr>
        <w:pStyle w:val="a7"/>
        <w:numPr>
          <w:ilvl w:val="0"/>
          <w:numId w:val="3"/>
        </w:numPr>
        <w:ind w:leftChars="0"/>
      </w:pPr>
      <m:oMath>
        <m:r>
          <w:rPr>
            <w:rFonts w:ascii="Cambria Math" w:hAnsi="Cambria Math"/>
          </w:rPr>
          <m:t xml:space="preserve">molar concentration </m:t>
        </m:r>
        <m:d>
          <m:dPr>
            <m:ctrlPr>
              <w:rPr>
                <w:rFonts w:ascii="Cambria Math" w:hAnsi="Cambria Math"/>
                <w:i/>
              </w:rPr>
            </m:ctrlPr>
          </m:dPr>
          <m:e>
            <m:r>
              <w:rPr>
                <w:rFonts w:ascii="Cambria Math" w:hAnsi="Cambria Math"/>
              </w:rPr>
              <m:t>M</m:t>
            </m:r>
          </m:e>
        </m:d>
        <m:r>
          <w:rPr>
            <w:rFonts w:ascii="Cambria Math" w:hAnsi="Cambria Math"/>
          </w:rPr>
          <m:t xml:space="preserve">of NaOH </m:t>
        </m:r>
        <m:d>
          <m:dPr>
            <m:ctrlPr>
              <w:rPr>
                <w:rFonts w:ascii="Cambria Math" w:hAnsi="Cambria Math"/>
                <w:i/>
              </w:rPr>
            </m:ctrlPr>
          </m:dPr>
          <m:e>
            <m:r>
              <w:rPr>
                <w:rFonts w:ascii="Cambria Math" w:hAnsi="Cambria Math"/>
              </w:rPr>
              <m:t>mol/l</m:t>
            </m:r>
          </m:e>
        </m:d>
        <m:r>
          <w:rPr>
            <w:rFonts w:ascii="Cambria Math" w:hAnsi="Cambria Math"/>
          </w:rPr>
          <m:t>=L of NaOH solution</m:t>
        </m:r>
      </m:oMath>
    </w:p>
    <w:p w14:paraId="1A79AA47" w14:textId="78840134" w:rsidR="005008FD" w:rsidRDefault="005008FD" w:rsidP="005008FD">
      <w:pPr>
        <w:pStyle w:val="a7"/>
        <w:numPr>
          <w:ilvl w:val="0"/>
          <w:numId w:val="3"/>
        </w:numPr>
        <w:ind w:leftChars="0"/>
      </w:pPr>
      <m:oMath>
        <m:r>
          <w:rPr>
            <w:rFonts w:ascii="Cambria Math" w:hAnsi="Cambria Math"/>
          </w:rPr>
          <m:t xml:space="preserve">volume </m:t>
        </m:r>
        <m:d>
          <m:dPr>
            <m:ctrlPr>
              <w:rPr>
                <w:rFonts w:ascii="Cambria Math" w:hAnsi="Cambria Math"/>
                <w:i/>
              </w:rPr>
            </m:ctrlPr>
          </m:dPr>
          <m:e>
            <m:r>
              <w:rPr>
                <w:rFonts w:ascii="Cambria Math" w:hAnsi="Cambria Math"/>
              </w:rPr>
              <m:t>L</m:t>
            </m:r>
          </m:e>
        </m:d>
        <m:r>
          <w:rPr>
            <w:rFonts w:ascii="Cambria Math" w:hAnsi="Cambria Math"/>
          </w:rPr>
          <m:t xml:space="preserve"> ×molar concentration </m:t>
        </m:r>
        <m:d>
          <m:dPr>
            <m:ctrlPr>
              <w:rPr>
                <w:rFonts w:ascii="Cambria Math" w:hAnsi="Cambria Math"/>
                <w:i/>
              </w:rPr>
            </m:ctrlPr>
          </m:dPr>
          <m:e>
            <m:r>
              <w:rPr>
                <w:rFonts w:ascii="Cambria Math" w:hAnsi="Cambria Math"/>
              </w:rPr>
              <m:t>mol/l</m:t>
            </m:r>
          </m:e>
        </m:d>
        <m:r>
          <w:rPr>
            <w:rFonts w:ascii="Cambria Math" w:hAnsi="Cambria Math"/>
          </w:rPr>
          <m:t>=mol NaOH</m:t>
        </m:r>
      </m:oMath>
    </w:p>
    <w:p w14:paraId="57D24701" w14:textId="188FCD35" w:rsidR="004F1EC5" w:rsidRPr="004308BB" w:rsidRDefault="00A64043" w:rsidP="00D9728F">
      <w:pPr>
        <w:pStyle w:val="a7"/>
        <w:numPr>
          <w:ilvl w:val="0"/>
          <w:numId w:val="3"/>
        </w:numPr>
        <w:ind w:leftChars="0"/>
      </w:pPr>
      <m:oMath>
        <m:r>
          <w:rPr>
            <w:rFonts w:ascii="Cambria Math" w:hAnsi="Cambria Math"/>
          </w:rPr>
          <m:t xml:space="preserve">molar concentration of the acid </m:t>
        </m:r>
        <m:d>
          <m:dPr>
            <m:ctrlPr>
              <w:rPr>
                <w:rFonts w:ascii="Cambria Math" w:hAnsi="Cambria Math"/>
                <w:i/>
              </w:rPr>
            </m:ctrlPr>
          </m:dPr>
          <m:e>
            <m:f>
              <m:fPr>
                <m:ctrlPr>
                  <w:rPr>
                    <w:rFonts w:ascii="Cambria Math" w:hAnsi="Cambria Math"/>
                    <w:i/>
                  </w:rPr>
                </m:ctrlPr>
              </m:fPr>
              <m:num>
                <m:r>
                  <w:rPr>
                    <w:rFonts w:ascii="Cambria Math" w:hAnsi="Cambria Math"/>
                  </w:rPr>
                  <m:t>mol</m:t>
                </m:r>
              </m:num>
              <m:den>
                <m:r>
                  <w:rPr>
                    <w:rFonts w:ascii="Cambria Math" w:hAnsi="Cambria Math"/>
                  </w:rPr>
                  <m:t>l</m:t>
                </m:r>
              </m:den>
            </m:f>
          </m:e>
        </m:d>
        <m:r>
          <w:rPr>
            <w:rFonts w:ascii="Cambria Math" w:hAnsi="Cambria Math"/>
          </w:rPr>
          <m:t>=</m:t>
        </m:r>
        <m:f>
          <m:fPr>
            <m:ctrlPr>
              <w:rPr>
                <w:rFonts w:ascii="Cambria Math" w:hAnsi="Cambria Math"/>
                <w:i/>
              </w:rPr>
            </m:ctrlPr>
          </m:fPr>
          <m:num>
            <m:r>
              <w:rPr>
                <w:rFonts w:ascii="Cambria Math" w:hAnsi="Cambria Math"/>
              </w:rPr>
              <m:t>mol acid</m:t>
            </m:r>
          </m:num>
          <m:den>
            <m:r>
              <w:rPr>
                <w:rFonts w:ascii="Cambria Math" w:hAnsi="Cambria Math"/>
              </w:rPr>
              <m:t xml:space="preserve">volume of acid </m:t>
            </m:r>
            <m:d>
              <m:dPr>
                <m:ctrlPr>
                  <w:rPr>
                    <w:rFonts w:ascii="Cambria Math" w:hAnsi="Cambria Math"/>
                    <w:i/>
                  </w:rPr>
                </m:ctrlPr>
              </m:dPr>
              <m:e>
                <m:r>
                  <w:rPr>
                    <w:rFonts w:ascii="Cambria Math" w:hAnsi="Cambria Math"/>
                  </w:rPr>
                  <m:t>L</m:t>
                </m:r>
              </m:e>
            </m:d>
          </m:den>
        </m:f>
      </m:oMath>
    </w:p>
    <w:sectPr w:rsidR="004F1EC5" w:rsidRPr="004308BB" w:rsidSect="00AB54E9">
      <w:headerReference w:type="default" r:id="rId7"/>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651D9" w14:textId="77777777" w:rsidR="000353E9" w:rsidRDefault="000353E9" w:rsidP="00AB54E9">
      <w:r>
        <w:separator/>
      </w:r>
    </w:p>
  </w:endnote>
  <w:endnote w:type="continuationSeparator" w:id="0">
    <w:p w14:paraId="5653A4FA" w14:textId="77777777" w:rsidR="000353E9" w:rsidRDefault="000353E9" w:rsidP="00AB5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5D6A3" w14:textId="77777777" w:rsidR="000353E9" w:rsidRDefault="000353E9" w:rsidP="00AB54E9">
      <w:r>
        <w:separator/>
      </w:r>
    </w:p>
  </w:footnote>
  <w:footnote w:type="continuationSeparator" w:id="0">
    <w:p w14:paraId="4A2EB37B" w14:textId="77777777" w:rsidR="000353E9" w:rsidRDefault="000353E9" w:rsidP="00AB5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59F74" w14:textId="02435C47" w:rsidR="00CA1B3B" w:rsidRPr="00CA1B3B" w:rsidRDefault="004F1EC5" w:rsidP="004F1EC5">
    <w:pPr>
      <w:pStyle w:val="a3"/>
      <w:wordWrap w:val="0"/>
      <w:ind w:right="240"/>
      <w:jc w:val="right"/>
    </w:pPr>
    <w:r w:rsidRPr="00AB54E9">
      <w:rPr>
        <w:rFonts w:ascii="Arial" w:hAnsi="Arial" w:cs="Arial"/>
        <w:sz w:val="24"/>
      </w:rPr>
      <w:t>Pre-</w:t>
    </w:r>
    <w:r>
      <w:rPr>
        <w:rFonts w:ascii="Arial" w:hAnsi="Arial" w:cs="Arial" w:hint="eastAsia"/>
        <w:sz w:val="24"/>
      </w:rPr>
      <w:t>L</w:t>
    </w:r>
    <w:r w:rsidRPr="00AB54E9">
      <w:rPr>
        <w:rFonts w:ascii="Arial" w:hAnsi="Arial" w:cs="Arial"/>
        <w:sz w:val="24"/>
      </w:rPr>
      <w:t>ab</w:t>
    </w:r>
    <w:r>
      <w:rPr>
        <w:rFonts w:ascii="Arial" w:hAnsi="Arial" w:cs="Arial"/>
        <w:sz w:val="24"/>
      </w:rPr>
      <w:t xml:space="preserve"> </w:t>
    </w:r>
    <w:sdt>
      <w:sdtPr>
        <w:id w:val="136140063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r>
          <w:rPr>
            <w:noProof/>
          </w:rPr>
          <w:t>/</w:t>
        </w:r>
        <w:r w:rsidR="0018278E">
          <w:rPr>
            <w:noProof/>
          </w:rPr>
          <w:t>3</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78D2"/>
    <w:multiLevelType w:val="hybridMultilevel"/>
    <w:tmpl w:val="C1F8D7EA"/>
    <w:lvl w:ilvl="0" w:tplc="35CE666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1D161DAA"/>
    <w:multiLevelType w:val="hybridMultilevel"/>
    <w:tmpl w:val="D3FC0F9E"/>
    <w:lvl w:ilvl="0" w:tplc="04090011">
      <w:start w:val="1"/>
      <w:numFmt w:val="upperLetter"/>
      <w:lvlText w:val="%1."/>
      <w:lvlJc w:val="left"/>
      <w:pPr>
        <w:ind w:left="480" w:hanging="480"/>
      </w:pPr>
      <w:rPr>
        <w:rFonts w:hint="default"/>
      </w:rPr>
    </w:lvl>
    <w:lvl w:ilvl="1" w:tplc="0409000F">
      <w:start w:val="1"/>
      <w:numFmt w:val="decimal"/>
      <w:lvlText w:val="%2."/>
      <w:lvlJc w:val="left"/>
      <w:pPr>
        <w:ind w:left="960" w:hanging="480"/>
      </w:pPr>
    </w:lvl>
    <w:lvl w:ilvl="2" w:tplc="A13C271A">
      <w:start w:val="1"/>
      <w:numFmt w:val="lowerLetter"/>
      <w:lvlText w:val="%3."/>
      <w:lvlJc w:val="left"/>
      <w:pPr>
        <w:ind w:left="1440" w:hanging="480"/>
      </w:pPr>
      <w:rPr>
        <w:rFonts w:hint="eastAsia"/>
      </w:rPr>
    </w:lvl>
    <w:lvl w:ilvl="3" w:tplc="FFFFFFFF" w:tentative="1">
      <w:start w:val="1"/>
      <w:numFmt w:val="bullet"/>
      <w:lvlText w:val=""/>
      <w:lvlJc w:val="left"/>
      <w:pPr>
        <w:ind w:left="1920" w:hanging="480"/>
      </w:pPr>
      <w:rPr>
        <w:rFonts w:ascii="Wingdings" w:hAnsi="Wingdings" w:hint="default"/>
      </w:rPr>
    </w:lvl>
    <w:lvl w:ilvl="4" w:tplc="FFFFFFFF" w:tentative="1">
      <w:start w:val="1"/>
      <w:numFmt w:val="bullet"/>
      <w:lvlText w:val=""/>
      <w:lvlJc w:val="left"/>
      <w:pPr>
        <w:ind w:left="2400" w:hanging="480"/>
      </w:pPr>
      <w:rPr>
        <w:rFonts w:ascii="Wingdings" w:hAnsi="Wingdings" w:hint="default"/>
      </w:rPr>
    </w:lvl>
    <w:lvl w:ilvl="5" w:tplc="FFFFFFFF" w:tentative="1">
      <w:start w:val="1"/>
      <w:numFmt w:val="bullet"/>
      <w:lvlText w:val=""/>
      <w:lvlJc w:val="left"/>
      <w:pPr>
        <w:ind w:left="2880" w:hanging="480"/>
      </w:pPr>
      <w:rPr>
        <w:rFonts w:ascii="Wingdings" w:hAnsi="Wingdings" w:hint="default"/>
      </w:rPr>
    </w:lvl>
    <w:lvl w:ilvl="6" w:tplc="FFFFFFFF" w:tentative="1">
      <w:start w:val="1"/>
      <w:numFmt w:val="bullet"/>
      <w:lvlText w:val=""/>
      <w:lvlJc w:val="left"/>
      <w:pPr>
        <w:ind w:left="3360" w:hanging="480"/>
      </w:pPr>
      <w:rPr>
        <w:rFonts w:ascii="Wingdings" w:hAnsi="Wingdings" w:hint="default"/>
      </w:rPr>
    </w:lvl>
    <w:lvl w:ilvl="7" w:tplc="FFFFFFFF" w:tentative="1">
      <w:start w:val="1"/>
      <w:numFmt w:val="bullet"/>
      <w:lvlText w:val=""/>
      <w:lvlJc w:val="left"/>
      <w:pPr>
        <w:ind w:left="3840" w:hanging="480"/>
      </w:pPr>
      <w:rPr>
        <w:rFonts w:ascii="Wingdings" w:hAnsi="Wingdings" w:hint="default"/>
      </w:rPr>
    </w:lvl>
    <w:lvl w:ilvl="8" w:tplc="FFFFFFFF" w:tentative="1">
      <w:start w:val="1"/>
      <w:numFmt w:val="bullet"/>
      <w:lvlText w:val=""/>
      <w:lvlJc w:val="left"/>
      <w:pPr>
        <w:ind w:left="4320" w:hanging="480"/>
      </w:pPr>
      <w:rPr>
        <w:rFonts w:ascii="Wingdings" w:hAnsi="Wingdings" w:hint="default"/>
      </w:rPr>
    </w:lvl>
  </w:abstractNum>
  <w:abstractNum w:abstractNumId="2" w15:restartNumberingAfterBreak="0">
    <w:nsid w:val="4C923A5E"/>
    <w:multiLevelType w:val="hybridMultilevel"/>
    <w:tmpl w:val="CAC80AC8"/>
    <w:lvl w:ilvl="0" w:tplc="35CE6662">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553341BE"/>
    <w:multiLevelType w:val="hybridMultilevel"/>
    <w:tmpl w:val="BA7A7DC8"/>
    <w:lvl w:ilvl="0" w:tplc="35CE6662">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16cid:durableId="1382438470">
    <w:abstractNumId w:val="0"/>
  </w:num>
  <w:num w:numId="2" w16cid:durableId="597640073">
    <w:abstractNumId w:val="2"/>
  </w:num>
  <w:num w:numId="3" w16cid:durableId="2087191749">
    <w:abstractNumId w:val="3"/>
  </w:num>
  <w:num w:numId="4" w16cid:durableId="8127980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4E9"/>
    <w:rsid w:val="000353E9"/>
    <w:rsid w:val="000478F6"/>
    <w:rsid w:val="000B5F86"/>
    <w:rsid w:val="000D607F"/>
    <w:rsid w:val="00107675"/>
    <w:rsid w:val="001134BC"/>
    <w:rsid w:val="00142487"/>
    <w:rsid w:val="0018278E"/>
    <w:rsid w:val="001B29FD"/>
    <w:rsid w:val="001C5D79"/>
    <w:rsid w:val="0021511B"/>
    <w:rsid w:val="00234A80"/>
    <w:rsid w:val="00287FD1"/>
    <w:rsid w:val="003B289B"/>
    <w:rsid w:val="003D3238"/>
    <w:rsid w:val="003D5271"/>
    <w:rsid w:val="003D758B"/>
    <w:rsid w:val="00406312"/>
    <w:rsid w:val="004130DE"/>
    <w:rsid w:val="004308BB"/>
    <w:rsid w:val="004B2652"/>
    <w:rsid w:val="004F1EC5"/>
    <w:rsid w:val="005008FD"/>
    <w:rsid w:val="0051370E"/>
    <w:rsid w:val="0054370B"/>
    <w:rsid w:val="00561024"/>
    <w:rsid w:val="005A6418"/>
    <w:rsid w:val="005D265B"/>
    <w:rsid w:val="005F36ED"/>
    <w:rsid w:val="006B5135"/>
    <w:rsid w:val="00700A74"/>
    <w:rsid w:val="008357FC"/>
    <w:rsid w:val="008863FF"/>
    <w:rsid w:val="009131E5"/>
    <w:rsid w:val="00914E1F"/>
    <w:rsid w:val="00943EDB"/>
    <w:rsid w:val="009878A8"/>
    <w:rsid w:val="00991FE2"/>
    <w:rsid w:val="00A0092B"/>
    <w:rsid w:val="00A4534A"/>
    <w:rsid w:val="00A64043"/>
    <w:rsid w:val="00AB54E9"/>
    <w:rsid w:val="00AC38A7"/>
    <w:rsid w:val="00B3026A"/>
    <w:rsid w:val="00B4514A"/>
    <w:rsid w:val="00B76D7E"/>
    <w:rsid w:val="00B81424"/>
    <w:rsid w:val="00BB190E"/>
    <w:rsid w:val="00C2572E"/>
    <w:rsid w:val="00C25B8D"/>
    <w:rsid w:val="00C74647"/>
    <w:rsid w:val="00C92A5C"/>
    <w:rsid w:val="00CA1B3B"/>
    <w:rsid w:val="00D849FE"/>
    <w:rsid w:val="00D9728F"/>
    <w:rsid w:val="00E00D15"/>
    <w:rsid w:val="00E74B4F"/>
    <w:rsid w:val="00F745EF"/>
    <w:rsid w:val="00FB56E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F77464"/>
  <w15:chartTrackingRefBased/>
  <w15:docId w15:val="{FAEF1804-6F42-4532-906A-C92ED3BD7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B54E9"/>
    <w:pPr>
      <w:tabs>
        <w:tab w:val="center" w:pos="4153"/>
        <w:tab w:val="right" w:pos="8306"/>
      </w:tabs>
      <w:snapToGrid w:val="0"/>
    </w:pPr>
    <w:rPr>
      <w:sz w:val="20"/>
      <w:szCs w:val="20"/>
    </w:rPr>
  </w:style>
  <w:style w:type="character" w:customStyle="1" w:styleId="a4">
    <w:name w:val="頁首 字元"/>
    <w:basedOn w:val="a0"/>
    <w:link w:val="a3"/>
    <w:uiPriority w:val="99"/>
    <w:rsid w:val="00AB54E9"/>
    <w:rPr>
      <w:sz w:val="20"/>
      <w:szCs w:val="20"/>
    </w:rPr>
  </w:style>
  <w:style w:type="paragraph" w:styleId="a5">
    <w:name w:val="footer"/>
    <w:basedOn w:val="a"/>
    <w:link w:val="a6"/>
    <w:uiPriority w:val="99"/>
    <w:unhideWhenUsed/>
    <w:rsid w:val="00AB54E9"/>
    <w:pPr>
      <w:tabs>
        <w:tab w:val="center" w:pos="4153"/>
        <w:tab w:val="right" w:pos="8306"/>
      </w:tabs>
      <w:snapToGrid w:val="0"/>
    </w:pPr>
    <w:rPr>
      <w:sz w:val="20"/>
      <w:szCs w:val="20"/>
    </w:rPr>
  </w:style>
  <w:style w:type="character" w:customStyle="1" w:styleId="a6">
    <w:name w:val="頁尾 字元"/>
    <w:basedOn w:val="a0"/>
    <w:link w:val="a5"/>
    <w:uiPriority w:val="99"/>
    <w:rsid w:val="00AB54E9"/>
    <w:rPr>
      <w:sz w:val="20"/>
      <w:szCs w:val="20"/>
    </w:rPr>
  </w:style>
  <w:style w:type="paragraph" w:styleId="a7">
    <w:name w:val="List Paragraph"/>
    <w:basedOn w:val="a"/>
    <w:uiPriority w:val="34"/>
    <w:qFormat/>
    <w:rsid w:val="001134BC"/>
    <w:pPr>
      <w:ind w:leftChars="200" w:left="480"/>
    </w:pPr>
  </w:style>
  <w:style w:type="character" w:styleId="a8">
    <w:name w:val="Placeholder Text"/>
    <w:basedOn w:val="a0"/>
    <w:uiPriority w:val="99"/>
    <w:semiHidden/>
    <w:rsid w:val="00C92A5C"/>
    <w:rPr>
      <w:color w:val="808080"/>
    </w:rPr>
  </w:style>
  <w:style w:type="paragraph" w:styleId="a9">
    <w:name w:val="Body Text"/>
    <w:basedOn w:val="a"/>
    <w:link w:val="aa"/>
    <w:uiPriority w:val="1"/>
    <w:qFormat/>
    <w:rsid w:val="001C5D79"/>
    <w:pPr>
      <w:autoSpaceDE w:val="0"/>
      <w:autoSpaceDN w:val="0"/>
      <w:spacing w:before="2"/>
      <w:ind w:left="580"/>
    </w:pPr>
    <w:rPr>
      <w:rFonts w:ascii="Arial MT" w:eastAsia="Arial MT" w:hAnsi="Arial MT" w:cs="Arial MT"/>
      <w:kern w:val="0"/>
      <w:szCs w:val="24"/>
      <w:lang w:eastAsia="en-US"/>
    </w:rPr>
  </w:style>
  <w:style w:type="character" w:customStyle="1" w:styleId="aa">
    <w:name w:val="本文 字元"/>
    <w:basedOn w:val="a0"/>
    <w:link w:val="a9"/>
    <w:uiPriority w:val="1"/>
    <w:rsid w:val="001C5D79"/>
    <w:rPr>
      <w:rFonts w:ascii="Arial MT" w:eastAsia="Arial MT" w:hAnsi="Arial MT" w:cs="Arial MT"/>
      <w:kern w:val="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755</Words>
  <Characters>4305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周嘉禾</cp:lastModifiedBy>
  <cp:revision>18</cp:revision>
  <dcterms:created xsi:type="dcterms:W3CDTF">2020-09-18T05:13:00Z</dcterms:created>
  <dcterms:modified xsi:type="dcterms:W3CDTF">2022-11-03T12:25:00Z</dcterms:modified>
</cp:coreProperties>
</file>