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43" w:rsidRPr="005B6443" w:rsidRDefault="005B6443" w:rsidP="005B6443">
      <w:pPr>
        <w:rPr>
          <w:rFonts w:ascii="Calibri" w:eastAsia="Times New Roman" w:hAnsi="Calibri"/>
          <w:sz w:val="30"/>
          <w:szCs w:val="22"/>
        </w:rPr>
      </w:pPr>
      <w:r w:rsidRPr="005B6443">
        <w:rPr>
          <w:rFonts w:ascii="Calibri" w:eastAsia="Times New Roman" w:hAnsi="Calibri"/>
          <w:b/>
          <w:bCs/>
          <w:sz w:val="30"/>
          <w:szCs w:val="22"/>
        </w:rPr>
        <w:t xml:space="preserve">Light </w:t>
      </w:r>
      <w:proofErr w:type="gramStart"/>
      <w:r w:rsidRPr="005B6443">
        <w:rPr>
          <w:rFonts w:ascii="Calibri" w:eastAsia="Times New Roman" w:hAnsi="Calibri"/>
          <w:b/>
          <w:bCs/>
          <w:sz w:val="30"/>
          <w:szCs w:val="22"/>
        </w:rPr>
        <w:t>Up</w:t>
      </w:r>
      <w:proofErr w:type="gramEnd"/>
      <w:r w:rsidRPr="005B6443">
        <w:rPr>
          <w:rFonts w:ascii="Calibri" w:eastAsia="Times New Roman" w:hAnsi="Calibri"/>
          <w:b/>
          <w:bCs/>
          <w:sz w:val="30"/>
          <w:szCs w:val="22"/>
        </w:rPr>
        <w:t xml:space="preserve"> Texas</w:t>
      </w:r>
      <w:r>
        <w:rPr>
          <w:rFonts w:ascii="Calibri" w:eastAsia="Times New Roman" w:hAnsi="Calibri"/>
          <w:b/>
          <w:bCs/>
          <w:sz w:val="30"/>
          <w:szCs w:val="22"/>
        </w:rPr>
        <w:t xml:space="preserve"> </w:t>
      </w:r>
      <w:r w:rsidRPr="005B6443">
        <w:rPr>
          <w:rFonts w:ascii="Calibri" w:eastAsia="Times New Roman" w:hAnsi="Calibri"/>
          <w:b/>
          <w:bCs/>
          <w:sz w:val="30"/>
          <w:szCs w:val="22"/>
        </w:rPr>
        <w:t>is Ending!</w:t>
      </w:r>
    </w:p>
    <w:p w:rsidR="005B6443" w:rsidRDefault="005B6443" w:rsidP="005B6443">
      <w:pPr>
        <w:rPr>
          <w:rFonts w:ascii="Calibri" w:eastAsia="Times New Roman" w:hAnsi="Calibri"/>
          <w:sz w:val="22"/>
          <w:szCs w:val="22"/>
        </w:rPr>
      </w:pPr>
    </w:p>
    <w:p w:rsidR="005B6443" w:rsidRDefault="005B6443" w:rsidP="005B6443">
      <w:pPr>
        <w:rPr>
          <w:rFonts w:ascii="Calibri" w:eastAsia="Times New Roman" w:hAnsi="Calibri"/>
          <w:sz w:val="22"/>
          <w:szCs w:val="22"/>
        </w:rPr>
      </w:pPr>
      <w:r>
        <w:rPr>
          <w:rFonts w:ascii="Calibri" w:eastAsia="Times New Roman" w:hAnsi="Calibri"/>
          <w:sz w:val="22"/>
          <w:szCs w:val="22"/>
        </w:rPr>
        <w:t xml:space="preserve">Customers will receive inserts in their August bills notifying them that the Lite </w:t>
      </w:r>
      <w:proofErr w:type="gramStart"/>
      <w:r>
        <w:rPr>
          <w:rFonts w:ascii="Calibri" w:eastAsia="Times New Roman" w:hAnsi="Calibri"/>
          <w:sz w:val="22"/>
          <w:szCs w:val="22"/>
        </w:rPr>
        <w:t>Up</w:t>
      </w:r>
      <w:proofErr w:type="gramEnd"/>
      <w:r>
        <w:rPr>
          <w:rFonts w:ascii="Calibri" w:eastAsia="Times New Roman" w:hAnsi="Calibri"/>
          <w:sz w:val="22"/>
          <w:szCs w:val="22"/>
        </w:rPr>
        <w:t xml:space="preserve"> Discount is ending beginning with their September bill.  Customers will be impacted by the loss of about 3 cents per kWh discount.</w:t>
      </w:r>
    </w:p>
    <w:p w:rsidR="005B6443" w:rsidRDefault="005B6443" w:rsidP="005B6443">
      <w:pPr>
        <w:rPr>
          <w:rFonts w:ascii="Calibri" w:eastAsia="Times New Roman" w:hAnsi="Calibri"/>
          <w:sz w:val="22"/>
          <w:szCs w:val="22"/>
        </w:rPr>
      </w:pPr>
    </w:p>
    <w:p w:rsidR="005B6443" w:rsidRPr="005B6443" w:rsidRDefault="005B6443" w:rsidP="005B6443">
      <w:pPr>
        <w:rPr>
          <w:rFonts w:ascii="Calibri" w:eastAsia="Times New Roman" w:hAnsi="Calibri"/>
          <w:b/>
          <w:sz w:val="22"/>
          <w:szCs w:val="22"/>
        </w:rPr>
      </w:pPr>
      <w:r w:rsidRPr="005B6443">
        <w:rPr>
          <w:rFonts w:ascii="Calibri" w:eastAsia="Times New Roman" w:hAnsi="Calibri"/>
          <w:b/>
          <w:bCs/>
          <w:sz w:val="22"/>
          <w:szCs w:val="22"/>
        </w:rPr>
        <w:t>Customer Handling</w:t>
      </w:r>
      <w:r w:rsidRPr="005B6443">
        <w:rPr>
          <w:rFonts w:ascii="Calibri" w:eastAsia="Times New Roman" w:hAnsi="Calibri"/>
          <w:b/>
          <w:sz w:val="22"/>
          <w:szCs w:val="22"/>
        </w:rPr>
        <w:t>:</w:t>
      </w:r>
    </w:p>
    <w:p w:rsidR="005B6443" w:rsidRDefault="005B6443" w:rsidP="005B6443">
      <w:pPr>
        <w:numPr>
          <w:ilvl w:val="0"/>
          <w:numId w:val="6"/>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 xml:space="preserve">Educate the customer that the Lite Up program was a </w:t>
      </w:r>
      <w:r w:rsidRPr="005B6443">
        <w:rPr>
          <w:rFonts w:ascii="Calibri" w:eastAsia="Times New Roman" w:hAnsi="Calibri"/>
          <w:b/>
          <w:i/>
          <w:iCs/>
          <w:sz w:val="22"/>
          <w:szCs w:val="22"/>
        </w:rPr>
        <w:t>Temporary</w:t>
      </w:r>
      <w:r>
        <w:rPr>
          <w:rFonts w:ascii="Calibri" w:eastAsia="Times New Roman" w:hAnsi="Calibri"/>
          <w:sz w:val="22"/>
          <w:szCs w:val="22"/>
        </w:rPr>
        <w:t xml:space="preserve"> program provided to low income customers from September 2015 to August 2016 and </w:t>
      </w:r>
      <w:r w:rsidRPr="005B6443">
        <w:rPr>
          <w:rFonts w:ascii="Calibri" w:eastAsia="Times New Roman" w:hAnsi="Calibri"/>
          <w:sz w:val="22"/>
          <w:szCs w:val="22"/>
          <w:u w:val="single"/>
        </w:rPr>
        <w:t>was not renewed by the Texas Legislature</w:t>
      </w:r>
      <w:r>
        <w:rPr>
          <w:rFonts w:ascii="Calibri" w:eastAsia="Times New Roman" w:hAnsi="Calibri"/>
          <w:sz w:val="22"/>
          <w:szCs w:val="22"/>
        </w:rPr>
        <w:t>.</w:t>
      </w:r>
    </w:p>
    <w:p w:rsidR="005B6443" w:rsidRDefault="005B6443" w:rsidP="005B6443">
      <w:pPr>
        <w:numPr>
          <w:ilvl w:val="0"/>
          <w:numId w:val="6"/>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The ancillary benefits available to Lite UP Customers (</w:t>
      </w:r>
      <w:bookmarkStart w:id="0" w:name="_GoBack"/>
      <w:bookmarkEnd w:id="0"/>
      <w:r>
        <w:rPr>
          <w:rFonts w:ascii="Calibri" w:eastAsia="Times New Roman" w:hAnsi="Calibri"/>
          <w:sz w:val="22"/>
          <w:szCs w:val="22"/>
        </w:rPr>
        <w:t>waiver of late payment fees and deposit installments</w:t>
      </w:r>
      <w:r w:rsidRPr="005B6443">
        <w:rPr>
          <w:rFonts w:ascii="Calibri" w:eastAsia="Times New Roman" w:hAnsi="Calibri"/>
          <w:b/>
          <w:sz w:val="22"/>
          <w:szCs w:val="22"/>
        </w:rPr>
        <w:t>) remain in effect</w:t>
      </w:r>
      <w:r>
        <w:rPr>
          <w:rFonts w:ascii="Calibri" w:eastAsia="Times New Roman" w:hAnsi="Calibri"/>
          <w:sz w:val="22"/>
          <w:szCs w:val="22"/>
        </w:rPr>
        <w:t xml:space="preserve"> until at least August 2017.</w:t>
      </w:r>
    </w:p>
    <w:p w:rsidR="005B6443" w:rsidRDefault="005B6443" w:rsidP="005B6443">
      <w:pPr>
        <w:rPr>
          <w:rFonts w:ascii="Calibri" w:eastAsia="Times New Roman" w:hAnsi="Calibri"/>
          <w:sz w:val="22"/>
          <w:szCs w:val="22"/>
        </w:rPr>
      </w:pPr>
    </w:p>
    <w:p w:rsidR="005B6443" w:rsidRDefault="005B6443" w:rsidP="005B6443">
      <w:pPr>
        <w:rPr>
          <w:rFonts w:ascii="Calibri" w:eastAsia="Times New Roman" w:hAnsi="Calibri"/>
          <w:sz w:val="22"/>
          <w:szCs w:val="22"/>
        </w:rPr>
      </w:pPr>
      <w:r>
        <w:rPr>
          <w:rFonts w:ascii="Calibri" w:eastAsia="Times New Roman" w:hAnsi="Calibri"/>
          <w:sz w:val="22"/>
          <w:szCs w:val="22"/>
        </w:rPr>
        <w:t>Remember there are pledge agencies that are willing to help customers:</w:t>
      </w:r>
    </w:p>
    <w:p w:rsidR="005B6443" w:rsidRDefault="005B6443" w:rsidP="005B6443">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You can provide help to the customers who need additional assistance paying their electricity bills by referring them to an Assistance Agency.  These organizations are local entities and government agencies set up to help customer who have trouble paying their electricity bills.</w:t>
      </w:r>
    </w:p>
    <w:p w:rsidR="005B6443" w:rsidRDefault="005B6443" w:rsidP="005B6443">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If </w:t>
      </w:r>
      <w:r>
        <w:rPr>
          <w:rFonts w:ascii="Calibri" w:eastAsia="Times New Roman" w:hAnsi="Calibri"/>
          <w:sz w:val="22"/>
          <w:szCs w:val="22"/>
        </w:rPr>
        <w:t xml:space="preserve">a customer calls and asks for assistance – </w:t>
      </w:r>
      <w:r>
        <w:rPr>
          <w:rFonts w:ascii="Calibri" w:eastAsia="Times New Roman" w:hAnsi="Calibri"/>
          <w:sz w:val="22"/>
          <w:szCs w:val="22"/>
          <w:u w:val="single"/>
        </w:rPr>
        <w:t>and does not qualify for a DPP</w:t>
      </w:r>
      <w:r>
        <w:rPr>
          <w:rFonts w:ascii="Calibri" w:eastAsia="Times New Roman" w:hAnsi="Calibri"/>
          <w:sz w:val="22"/>
          <w:szCs w:val="22"/>
        </w:rPr>
        <w:t xml:space="preserve"> – then we will provide the customer with a phone number to the Assistance Agency in the area.</w:t>
      </w:r>
    </w:p>
    <w:p w:rsidR="005B6443" w:rsidRDefault="005B6443" w:rsidP="005B6443">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 xml:space="preserve">The website is: </w:t>
      </w:r>
      <w:hyperlink r:id="rId5" w:history="1">
        <w:r>
          <w:rPr>
            <w:rStyle w:val="Hyperlink"/>
            <w:rFonts w:ascii="Calibri" w:eastAsia="Times New Roman" w:hAnsi="Calibri"/>
            <w:sz w:val="22"/>
            <w:szCs w:val="22"/>
          </w:rPr>
          <w:t>http://www.tdhca.state.tx.us/texan</w:t>
        </w:r>
        <w:r>
          <w:rPr>
            <w:rStyle w:val="Hyperlink"/>
            <w:rFonts w:ascii="Calibri" w:eastAsia="Times New Roman" w:hAnsi="Calibri"/>
            <w:sz w:val="22"/>
            <w:szCs w:val="22"/>
          </w:rPr>
          <w:t>s</w:t>
        </w:r>
        <w:r>
          <w:rPr>
            <w:rStyle w:val="Hyperlink"/>
            <w:rFonts w:ascii="Calibri" w:eastAsia="Times New Roman" w:hAnsi="Calibri"/>
            <w:sz w:val="22"/>
            <w:szCs w:val="22"/>
          </w:rPr>
          <w:t>.htm</w:t>
        </w:r>
      </w:hyperlink>
    </w:p>
    <w:p w:rsidR="005B6443" w:rsidRDefault="005B6443" w:rsidP="005B6443">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Select the option for Utility Bill Help</w:t>
      </w:r>
    </w:p>
    <w:p w:rsidR="005B6443" w:rsidRDefault="005B6443" w:rsidP="005B6443">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b/>
          <w:bCs/>
          <w:sz w:val="22"/>
          <w:szCs w:val="22"/>
        </w:rPr>
        <w:t>Scroll to the bottom of the page</w:t>
      </w:r>
      <w:r>
        <w:rPr>
          <w:rFonts w:ascii="Calibri" w:eastAsia="Times New Roman" w:hAnsi="Calibri"/>
          <w:sz w:val="22"/>
          <w:szCs w:val="22"/>
        </w:rPr>
        <w:t xml:space="preserve"> to enter the City or County</w:t>
      </w:r>
    </w:p>
    <w:p w:rsidR="005B6443" w:rsidRDefault="005B6443" w:rsidP="005B6443">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Click the Find Help button to see the agencies in the area</w:t>
      </w:r>
    </w:p>
    <w:p w:rsidR="005B6443" w:rsidRDefault="005B6443" w:rsidP="005B6443">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When the Assistance Provider Results page appears, provide the appropriate agency phone number to the customer.</w:t>
      </w:r>
    </w:p>
    <w:p w:rsidR="005B6443" w:rsidRDefault="005B6443" w:rsidP="005B6443">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b/>
          <w:bCs/>
          <w:sz w:val="22"/>
          <w:szCs w:val="22"/>
        </w:rPr>
        <w:t>Inform the custom to also call 211 for additional utility assistance.</w:t>
      </w:r>
    </w:p>
    <w:p w:rsidR="005B6443" w:rsidRDefault="005B6443" w:rsidP="005B6443">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b/>
          <w:bCs/>
          <w:sz w:val="22"/>
          <w:szCs w:val="22"/>
        </w:rPr>
        <w:t xml:space="preserve">Important:  </w:t>
      </w:r>
      <w:r>
        <w:rPr>
          <w:rFonts w:ascii="Calibri" w:eastAsia="Times New Roman" w:hAnsi="Calibri"/>
          <w:sz w:val="22"/>
          <w:szCs w:val="22"/>
        </w:rPr>
        <w:t>If an Assistance Agency arranges to pay an amount equal to or greater than the Disconnection Amount on behalf of the customer, the account will be flagged for up to 45 days, regardless of the amount owed on the account.  No actions are required by the front line agents.</w:t>
      </w:r>
    </w:p>
    <w:p w:rsidR="005B6443" w:rsidRDefault="005B6443" w:rsidP="005B6443">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 xml:space="preserve">Customers may call in to inquire if their bills have been paid. </w:t>
      </w:r>
    </w:p>
    <w:p w:rsidR="005B6443" w:rsidRDefault="005B6443" w:rsidP="005B6443">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View the customer account to see if a flag has  been placed for the Pledge</w:t>
      </w:r>
    </w:p>
    <w:p w:rsidR="005B6443" w:rsidRDefault="005B6443" w:rsidP="005B6443">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 flag should be on the account for 45 day or when the check for the pledge is received.</w:t>
      </w:r>
    </w:p>
    <w:p w:rsidR="005B6443" w:rsidRDefault="005B6443" w:rsidP="005B6443">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 will call because:</w:t>
      </w:r>
    </w:p>
    <w:p w:rsidR="005B6443" w:rsidRDefault="005B6443" w:rsidP="005B6443">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They are usually behind in their payments.  They are worried that their service will be disconnected.</w:t>
      </w:r>
    </w:p>
    <w:p w:rsidR="005B6443" w:rsidRDefault="005B6443" w:rsidP="005B6443">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Customers may want to know when the Agency is planning to make the payment</w:t>
      </w:r>
    </w:p>
    <w:p w:rsidR="005B6443" w:rsidRDefault="005B6443" w:rsidP="005B6443">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Customers may need to pay the remaining balance, and they need you to tell them what the amount the Agency is covering and what they are responsible for.</w:t>
      </w:r>
    </w:p>
    <w:p w:rsidR="005B6443" w:rsidRDefault="005B6443" w:rsidP="005B6443">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 may simply need reassurance that we have the information for the Agency payment.</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b/>
          <w:bCs/>
          <w:sz w:val="22"/>
          <w:szCs w:val="22"/>
        </w:rPr>
        <w:lastRenderedPageBreak/>
        <w:t>Deposit Freedom Enhancements (First Choice Power):</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This allows customers to qualify for Deposit Freedom up to 10 times for the 180 day period.</w:t>
      </w:r>
    </w:p>
    <w:p w:rsidR="005B6443" w:rsidRDefault="005B6443" w:rsidP="005B6443">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60-day window for eligibility restarts after a disqualifying event.</w:t>
      </w:r>
    </w:p>
    <w:p w:rsidR="005B6443" w:rsidRDefault="005B6443" w:rsidP="005B6443">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 has restart eligibility up to 10 times within 180 days</w:t>
      </w:r>
    </w:p>
    <w:p w:rsidR="005B6443" w:rsidRDefault="005B6443" w:rsidP="005B6443">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Customers can opt in and opt out of Deposit Freedom</w:t>
      </w:r>
    </w:p>
    <w:p w:rsidR="005B6443" w:rsidRDefault="005B6443" w:rsidP="005B6443">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 xml:space="preserve">Changes will be seen in </w:t>
      </w:r>
      <w:proofErr w:type="spellStart"/>
      <w:r>
        <w:rPr>
          <w:rFonts w:ascii="Calibri" w:eastAsia="Times New Roman" w:hAnsi="Calibri"/>
          <w:sz w:val="22"/>
          <w:szCs w:val="22"/>
        </w:rPr>
        <w:t>MyAccount</w:t>
      </w:r>
      <w:proofErr w:type="spellEnd"/>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numPr>
          <w:ilvl w:val="0"/>
          <w:numId w:val="8"/>
        </w:numPr>
        <w:spacing w:before="100" w:beforeAutospacing="1" w:after="100" w:afterAutospacing="1"/>
        <w:ind w:left="0" w:right="1400"/>
        <w:rPr>
          <w:rFonts w:ascii="Calibri" w:eastAsia="Times New Roman" w:hAnsi="Calibri"/>
          <w:sz w:val="20"/>
          <w:szCs w:val="20"/>
        </w:rPr>
      </w:pPr>
      <w:r>
        <w:rPr>
          <w:rFonts w:ascii="Calibri" w:eastAsia="Times New Roman" w:hAnsi="Calibri"/>
          <w:sz w:val="20"/>
          <w:szCs w:val="20"/>
        </w:rPr>
        <w:t>Restart Functionality</w:t>
      </w:r>
      <w:r>
        <w:rPr>
          <w:rFonts w:ascii="Verdana" w:eastAsia="Times New Roman" w:hAnsi="Verdana"/>
          <w:sz w:val="20"/>
          <w:szCs w:val="20"/>
        </w:rPr>
        <w:t xml:space="preserve"> –</w:t>
      </w:r>
      <w:r>
        <w:rPr>
          <w:rFonts w:ascii="Calibri" w:eastAsia="Times New Roman" w:hAnsi="Calibri"/>
          <w:sz w:val="20"/>
          <w:szCs w:val="20"/>
        </w:rPr>
        <w:t xml:space="preserve"> allowing customers to restart the program if they become disqualified due to a negative balance or more than 5 payments every 30 days.</w:t>
      </w:r>
    </w:p>
    <w:p w:rsidR="005B6443" w:rsidRDefault="005B6443" w:rsidP="005B6443">
      <w:pPr>
        <w:numPr>
          <w:ilvl w:val="0"/>
          <w:numId w:val="8"/>
        </w:numPr>
        <w:spacing w:before="100" w:beforeAutospacing="1" w:after="100" w:afterAutospacing="1"/>
        <w:ind w:left="0" w:right="1400"/>
        <w:rPr>
          <w:rFonts w:ascii="Calibri" w:eastAsia="Times New Roman" w:hAnsi="Calibri"/>
          <w:sz w:val="20"/>
          <w:szCs w:val="20"/>
        </w:rPr>
      </w:pPr>
      <w:r>
        <w:rPr>
          <w:rFonts w:ascii="Calibri" w:eastAsia="Times New Roman" w:hAnsi="Calibri"/>
          <w:sz w:val="20"/>
          <w:szCs w:val="20"/>
        </w:rPr>
        <w:t>Opt-In/Opt-Out of Deposit Freedom</w:t>
      </w:r>
      <w:r>
        <w:rPr>
          <w:rFonts w:ascii="Verdana" w:eastAsia="Times New Roman" w:hAnsi="Verdana"/>
          <w:sz w:val="20"/>
          <w:szCs w:val="20"/>
        </w:rPr>
        <w:t xml:space="preserve"> –</w:t>
      </w:r>
      <w:r>
        <w:rPr>
          <w:rFonts w:ascii="Calibri" w:eastAsia="Times New Roman" w:hAnsi="Calibri"/>
          <w:sz w:val="20"/>
          <w:szCs w:val="20"/>
        </w:rPr>
        <w:t xml:space="preserve"> Customer can choose to opt in or out of the program at </w:t>
      </w:r>
      <w:proofErr w:type="spellStart"/>
      <w:r>
        <w:rPr>
          <w:rFonts w:ascii="Calibri" w:eastAsia="Times New Roman" w:hAnsi="Calibri"/>
          <w:sz w:val="20"/>
          <w:szCs w:val="20"/>
        </w:rPr>
        <w:t>anytime</w:t>
      </w:r>
      <w:proofErr w:type="spellEnd"/>
      <w:r>
        <w:rPr>
          <w:rFonts w:ascii="Calibri" w:eastAsia="Times New Roman" w:hAnsi="Calibri"/>
          <w:sz w:val="20"/>
          <w:szCs w:val="20"/>
        </w:rPr>
        <w:t>.</w:t>
      </w:r>
    </w:p>
    <w:p w:rsidR="005B6443" w:rsidRDefault="005B6443" w:rsidP="005B6443">
      <w:pPr>
        <w:numPr>
          <w:ilvl w:val="0"/>
          <w:numId w:val="8"/>
        </w:numPr>
        <w:spacing w:before="100" w:beforeAutospacing="1" w:after="100" w:afterAutospacing="1"/>
        <w:ind w:left="0" w:right="1400"/>
        <w:rPr>
          <w:rFonts w:ascii="Calibri" w:eastAsia="Times New Roman" w:hAnsi="Calibri"/>
          <w:sz w:val="20"/>
          <w:szCs w:val="20"/>
        </w:rPr>
      </w:pPr>
      <w:r>
        <w:rPr>
          <w:rFonts w:ascii="Calibri" w:eastAsia="Times New Roman" w:hAnsi="Calibri"/>
          <w:sz w:val="20"/>
          <w:szCs w:val="20"/>
        </w:rPr>
        <w:t>Updates to Power-to-Go system</w:t>
      </w:r>
    </w:p>
    <w:p w:rsidR="005B6443" w:rsidRDefault="005B6443" w:rsidP="005B6443">
      <w:pPr>
        <w:numPr>
          <w:ilvl w:val="0"/>
          <w:numId w:val="8"/>
        </w:numPr>
        <w:spacing w:before="100" w:beforeAutospacing="1" w:after="100" w:afterAutospacing="1"/>
        <w:ind w:left="0" w:right="1400"/>
        <w:rPr>
          <w:rFonts w:ascii="Calibri" w:eastAsia="Times New Roman" w:hAnsi="Calibri"/>
          <w:sz w:val="20"/>
          <w:szCs w:val="20"/>
        </w:rPr>
      </w:pPr>
      <w:r>
        <w:rPr>
          <w:rFonts w:ascii="Calibri" w:eastAsia="Times New Roman" w:hAnsi="Calibri"/>
          <w:sz w:val="20"/>
          <w:szCs w:val="20"/>
        </w:rPr>
        <w:t>Customer can control their Deposit Freedom enrollment information with</w:t>
      </w:r>
      <w:r>
        <w:rPr>
          <w:rFonts w:ascii="Verdana" w:eastAsia="Times New Roman" w:hAnsi="Verdana"/>
          <w:sz w:val="20"/>
          <w:szCs w:val="20"/>
        </w:rPr>
        <w:t xml:space="preserve"> </w:t>
      </w:r>
      <w:proofErr w:type="spellStart"/>
      <w:r>
        <w:rPr>
          <w:rFonts w:ascii="Calibri" w:eastAsia="Times New Roman" w:hAnsi="Calibri"/>
          <w:sz w:val="20"/>
          <w:szCs w:val="20"/>
        </w:rPr>
        <w:t>MyAccount</w:t>
      </w:r>
      <w:proofErr w:type="spellEnd"/>
      <w:r>
        <w:rPr>
          <w:rFonts w:ascii="Calibri" w:eastAsia="Times New Roman" w:hAnsi="Calibri"/>
          <w:sz w:val="20"/>
          <w:szCs w:val="20"/>
        </w:rPr>
        <w:t>.</w:t>
      </w:r>
    </w:p>
    <w:p w:rsidR="005B6443" w:rsidRDefault="005B6443" w:rsidP="005B6443">
      <w:pPr>
        <w:rPr>
          <w:rFonts w:ascii="Calibri" w:eastAsia="Times New Roman" w:hAnsi="Calibri"/>
          <w:sz w:val="22"/>
          <w:szCs w:val="22"/>
        </w:rPr>
      </w:pPr>
      <w:r>
        <w:rPr>
          <w:rFonts w:ascii="Verdana" w:eastAsia="Times New Roman" w:hAnsi="Verdana"/>
          <w:sz w:val="20"/>
          <w:szCs w:val="20"/>
        </w:rPr>
        <w:t> </w:t>
      </w:r>
    </w:p>
    <w:p w:rsidR="005B6443" w:rsidRDefault="005B6443" w:rsidP="005B6443">
      <w:pPr>
        <w:rPr>
          <w:rFonts w:ascii="Calibri" w:eastAsia="Times New Roman" w:hAnsi="Calibri"/>
          <w:sz w:val="22"/>
          <w:szCs w:val="22"/>
        </w:rPr>
      </w:pPr>
      <w:r>
        <w:rPr>
          <w:rFonts w:ascii="Calibri" w:eastAsia="Times New Roman" w:hAnsi="Calibri"/>
          <w:b/>
          <w:bCs/>
          <w:sz w:val="20"/>
          <w:szCs w:val="20"/>
        </w:rPr>
        <w:t>IMPORTANT</w:t>
      </w:r>
      <w:r>
        <w:rPr>
          <w:rFonts w:ascii="Calibri" w:eastAsia="Times New Roman" w:hAnsi="Calibri"/>
          <w:sz w:val="20"/>
          <w:szCs w:val="20"/>
        </w:rPr>
        <w:t>: Also, with the new enhancements, we are allowing our old customers who disqualified another chance.</w:t>
      </w:r>
      <w:r>
        <w:rPr>
          <w:rFonts w:ascii="Verdana" w:eastAsia="Times New Roman" w:hAnsi="Verdana"/>
          <w:sz w:val="20"/>
          <w:szCs w:val="20"/>
        </w:rPr>
        <w:t xml:space="preserve">  </w:t>
      </w:r>
      <w:r>
        <w:rPr>
          <w:rFonts w:ascii="Calibri" w:eastAsia="Times New Roman" w:hAnsi="Calibri"/>
          <w:sz w:val="20"/>
          <w:szCs w:val="20"/>
        </w:rPr>
        <w:t>Deposit Freedom</w:t>
      </w:r>
      <w:r>
        <w:rPr>
          <w:rFonts w:ascii="Calibri" w:eastAsia="Times New Roman" w:hAnsi="Calibri"/>
          <w:sz w:val="20"/>
          <w:szCs w:val="20"/>
        </w:rPr>
        <w:br/>
        <w:t>customers that were previously disqualified will be reset on Deposit Freedom and we will be sending them a message.</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tbl>
      <w:tblPr>
        <w:tblW w:w="13800" w:type="dxa"/>
        <w:tblCellSpacing w:w="15" w:type="dxa"/>
        <w:tblInd w:w="78" w:type="dxa"/>
        <w:tblLook w:val="04A0" w:firstRow="1" w:lastRow="0" w:firstColumn="1" w:lastColumn="0" w:noHBand="0" w:noVBand="1"/>
      </w:tblPr>
      <w:tblGrid>
        <w:gridCol w:w="1964"/>
        <w:gridCol w:w="11836"/>
      </w:tblGrid>
      <w:tr w:rsidR="005B6443" w:rsidTr="005B6443">
        <w:trPr>
          <w:trHeight w:val="330"/>
          <w:tblCellSpacing w:w="15" w:type="dxa"/>
        </w:trPr>
        <w:tc>
          <w:tcPr>
            <w:tcW w:w="0" w:type="auto"/>
            <w:tcMar>
              <w:top w:w="15" w:type="dxa"/>
              <w:left w:w="15" w:type="dxa"/>
              <w:bottom w:w="15" w:type="dxa"/>
              <w:right w:w="15" w:type="dxa"/>
            </w:tcMar>
            <w:vAlign w:val="center"/>
            <w:hideMark/>
          </w:tcPr>
          <w:p w:rsidR="005B6443" w:rsidRDefault="005B6443">
            <w:pPr>
              <w:rPr>
                <w:rFonts w:eastAsia="Times New Roman"/>
              </w:rPr>
            </w:pPr>
            <w:r>
              <w:rPr>
                <w:rFonts w:ascii="Verdana" w:eastAsia="Times New Roman" w:hAnsi="Verdana"/>
                <w:b/>
                <w:bCs/>
                <w:sz w:val="20"/>
                <w:szCs w:val="20"/>
              </w:rPr>
              <w:t>Restart Functionality</w:t>
            </w:r>
            <w:r>
              <w:rPr>
                <w:rFonts w:ascii="Verdana" w:eastAsia="Times New Roman" w:hAnsi="Verdana"/>
              </w:rPr>
              <w:t xml:space="preserve"> </w:t>
            </w:r>
          </w:p>
        </w:tc>
        <w:tc>
          <w:tcPr>
            <w:tcW w:w="0" w:type="auto"/>
            <w:tcMar>
              <w:top w:w="15" w:type="dxa"/>
              <w:left w:w="555" w:type="dxa"/>
              <w:bottom w:w="15" w:type="dxa"/>
              <w:right w:w="400" w:type="dxa"/>
            </w:tcMar>
            <w:vAlign w:val="center"/>
            <w:hideMark/>
          </w:tcPr>
          <w:p w:rsidR="005B6443" w:rsidRDefault="005B6443">
            <w:pPr>
              <w:spacing w:before="120" w:after="160"/>
              <w:ind w:hanging="465"/>
              <w:rPr>
                <w:rFonts w:ascii="Verdana" w:eastAsia="Times New Roman" w:hAnsi="Verdana"/>
                <w:sz w:val="20"/>
                <w:szCs w:val="20"/>
              </w:rPr>
            </w:pPr>
            <w:r>
              <w:rPr>
                <w:rFonts w:ascii="Verdana" w:eastAsia="Times New Roman" w:hAnsi="Verdana"/>
                <w:sz w:val="20"/>
                <w:szCs w:val="20"/>
              </w:rPr>
              <w:t xml:space="preserve">  1. </w:t>
            </w:r>
            <w:r>
              <w:rPr>
                <w:rFonts w:ascii="Calibri" w:eastAsia="Times New Roman" w:hAnsi="Calibri"/>
                <w:sz w:val="20"/>
                <w:szCs w:val="20"/>
              </w:rPr>
              <w:t xml:space="preserve">60-day window for DE eligibility that restarts after </w:t>
            </w:r>
            <w:proofErr w:type="gramStart"/>
            <w:r>
              <w:rPr>
                <w:rFonts w:ascii="Calibri" w:eastAsia="Times New Roman" w:hAnsi="Calibri"/>
                <w:sz w:val="20"/>
                <w:szCs w:val="20"/>
              </w:rPr>
              <w:t>a  *</w:t>
            </w:r>
            <w:proofErr w:type="gramEnd"/>
            <w:r>
              <w:rPr>
                <w:rFonts w:ascii="Calibri" w:eastAsia="Times New Roman" w:hAnsi="Calibri"/>
                <w:sz w:val="20"/>
                <w:szCs w:val="20"/>
              </w:rPr>
              <w:t>disqualifying event.</w:t>
            </w:r>
            <w:r>
              <w:rPr>
                <w:rFonts w:ascii="Verdana" w:eastAsia="Times New Roman" w:hAnsi="Verdana"/>
                <w:sz w:val="20"/>
                <w:szCs w:val="20"/>
              </w:rPr>
              <w:t xml:space="preserve"> </w:t>
            </w:r>
          </w:p>
          <w:p w:rsidR="005B6443" w:rsidRDefault="005B6443">
            <w:pPr>
              <w:spacing w:before="120" w:after="160"/>
              <w:ind w:hanging="450"/>
              <w:rPr>
                <w:rFonts w:ascii="Verdana" w:eastAsia="Times New Roman" w:hAnsi="Verdana"/>
                <w:sz w:val="20"/>
                <w:szCs w:val="20"/>
              </w:rPr>
            </w:pPr>
            <w:r>
              <w:rPr>
                <w:rFonts w:ascii="Verdana" w:eastAsia="Times New Roman" w:hAnsi="Verdana"/>
                <w:sz w:val="20"/>
                <w:szCs w:val="20"/>
              </w:rPr>
              <w:t xml:space="preserve">Disqualifying event </w:t>
            </w:r>
            <w:r>
              <w:rPr>
                <w:rFonts w:ascii="Verdana" w:eastAsia="Times New Roman" w:hAnsi="Verdana"/>
                <w:sz w:val="20"/>
                <w:szCs w:val="20"/>
              </w:rPr>
              <w:br/>
              <w:t xml:space="preserve">1. </w:t>
            </w:r>
            <w:proofErr w:type="gramStart"/>
            <w:r>
              <w:rPr>
                <w:rFonts w:ascii="Verdana" w:eastAsia="Times New Roman" w:hAnsi="Verdana"/>
                <w:sz w:val="20"/>
                <w:szCs w:val="20"/>
              </w:rPr>
              <w:t>negative</w:t>
            </w:r>
            <w:proofErr w:type="gramEnd"/>
            <w:r>
              <w:rPr>
                <w:rFonts w:ascii="Verdana" w:eastAsia="Times New Roman" w:hAnsi="Verdana"/>
                <w:sz w:val="20"/>
                <w:szCs w:val="20"/>
              </w:rPr>
              <w:t xml:space="preserve"> balance</w:t>
            </w:r>
            <w:r>
              <w:rPr>
                <w:rFonts w:ascii="Verdana" w:eastAsia="Times New Roman" w:hAnsi="Verdana"/>
                <w:sz w:val="20"/>
                <w:szCs w:val="20"/>
              </w:rPr>
              <w:br/>
              <w:t>2. more than 5 payments in 30 days</w:t>
            </w:r>
          </w:p>
          <w:p w:rsidR="005B6443" w:rsidRDefault="005B6443">
            <w:pPr>
              <w:spacing w:before="120" w:after="160"/>
              <w:ind w:hanging="315"/>
              <w:rPr>
                <w:rFonts w:ascii="Verdana" w:eastAsia="Times New Roman" w:hAnsi="Verdana"/>
                <w:sz w:val="20"/>
                <w:szCs w:val="20"/>
              </w:rPr>
            </w:pPr>
            <w:r>
              <w:rPr>
                <w:rFonts w:ascii="Verdana" w:eastAsia="Times New Roman" w:hAnsi="Verdana"/>
                <w:sz w:val="20"/>
                <w:szCs w:val="20"/>
              </w:rPr>
              <w:t xml:space="preserve">2.  Customer has </w:t>
            </w:r>
            <w:r>
              <w:rPr>
                <w:rFonts w:ascii="Calibri" w:eastAsia="Times New Roman" w:hAnsi="Calibri"/>
                <w:sz w:val="20"/>
                <w:szCs w:val="20"/>
              </w:rPr>
              <w:t>restart eligibility up to 10 times within 60-days.</w:t>
            </w:r>
            <w:r>
              <w:rPr>
                <w:rFonts w:ascii="Verdana" w:eastAsia="Times New Roman" w:hAnsi="Verdana"/>
                <w:sz w:val="20"/>
                <w:szCs w:val="20"/>
              </w:rPr>
              <w:t xml:space="preserve"> </w:t>
            </w:r>
          </w:p>
          <w:p w:rsidR="005B6443" w:rsidRDefault="005B6443">
            <w:pPr>
              <w:spacing w:before="120" w:after="160"/>
              <w:ind w:hanging="1425"/>
              <w:rPr>
                <w:rFonts w:ascii="Verdana" w:eastAsia="Times New Roman" w:hAnsi="Verdana"/>
                <w:sz w:val="20"/>
                <w:szCs w:val="20"/>
              </w:rPr>
            </w:pPr>
            <w:r>
              <w:rPr>
                <w:rFonts w:ascii="Verdana" w:eastAsia="Times New Roman" w:hAnsi="Verdana"/>
                <w:b/>
                <w:bCs/>
                <w:sz w:val="20"/>
                <w:szCs w:val="20"/>
              </w:rPr>
              <w:t>Note:</w:t>
            </w:r>
            <w:r>
              <w:rPr>
                <w:rFonts w:ascii="Verdana" w:eastAsia="Times New Roman" w:hAnsi="Verdana"/>
                <w:sz w:val="20"/>
                <w:szCs w:val="20"/>
              </w:rPr>
              <w:t xml:space="preserve"> Eligibility to restart will happen the day after disqualifying event.</w:t>
            </w:r>
          </w:p>
          <w:p w:rsidR="005B6443" w:rsidRDefault="005B6443">
            <w:pPr>
              <w:spacing w:before="120" w:after="160"/>
              <w:ind w:hanging="1425"/>
              <w:rPr>
                <w:rFonts w:ascii="Verdana" w:eastAsia="Times New Roman" w:hAnsi="Verdana"/>
                <w:sz w:val="20"/>
                <w:szCs w:val="20"/>
              </w:rPr>
            </w:pPr>
            <w:r>
              <w:rPr>
                <w:rFonts w:ascii="Verdana" w:eastAsia="Times New Roman" w:hAnsi="Verdana"/>
                <w:b/>
                <w:bCs/>
                <w:sz w:val="20"/>
                <w:szCs w:val="20"/>
              </w:rPr>
              <w:t>Important:</w:t>
            </w:r>
            <w:r>
              <w:rPr>
                <w:rFonts w:ascii="Verdana" w:eastAsia="Times New Roman" w:hAnsi="Verdana"/>
                <w:sz w:val="20"/>
                <w:szCs w:val="20"/>
              </w:rPr>
              <w:t xml:space="preserve"> Customers can also be disqualified after 180 days.         </w:t>
            </w:r>
          </w:p>
        </w:tc>
      </w:tr>
      <w:tr w:rsidR="005B6443" w:rsidTr="005B6443">
        <w:trPr>
          <w:trHeight w:val="330"/>
          <w:tblCellSpacing w:w="15" w:type="dxa"/>
        </w:trPr>
        <w:tc>
          <w:tcPr>
            <w:tcW w:w="0" w:type="auto"/>
            <w:tcMar>
              <w:top w:w="15" w:type="dxa"/>
              <w:left w:w="15" w:type="dxa"/>
              <w:bottom w:w="15" w:type="dxa"/>
              <w:right w:w="15" w:type="dxa"/>
            </w:tcMar>
            <w:vAlign w:val="center"/>
            <w:hideMark/>
          </w:tcPr>
          <w:p w:rsidR="005B6443" w:rsidRDefault="005B6443">
            <w:pPr>
              <w:rPr>
                <w:rFonts w:eastAsia="Times New Roman"/>
              </w:rPr>
            </w:pPr>
            <w:r>
              <w:rPr>
                <w:rFonts w:ascii="Verdana" w:eastAsia="Times New Roman" w:hAnsi="Verdana"/>
                <w:b/>
                <w:bCs/>
                <w:sz w:val="20"/>
                <w:szCs w:val="20"/>
              </w:rPr>
              <w:t xml:space="preserve"> Opt In /Opt Out </w:t>
            </w:r>
          </w:p>
        </w:tc>
        <w:tc>
          <w:tcPr>
            <w:tcW w:w="0" w:type="auto"/>
            <w:tcMar>
              <w:top w:w="15" w:type="dxa"/>
              <w:left w:w="15" w:type="dxa"/>
              <w:bottom w:w="15" w:type="dxa"/>
              <w:right w:w="15" w:type="dxa"/>
            </w:tcMar>
            <w:vAlign w:val="center"/>
            <w:hideMark/>
          </w:tcPr>
          <w:p w:rsidR="005B6443" w:rsidRDefault="005B6443">
            <w:pPr>
              <w:rPr>
                <w:rFonts w:ascii="Verdana" w:eastAsia="Times New Roman" w:hAnsi="Verdana"/>
                <w:sz w:val="20"/>
                <w:szCs w:val="20"/>
              </w:rPr>
            </w:pPr>
            <w:r>
              <w:rPr>
                <w:rFonts w:ascii="Verdana" w:eastAsia="Times New Roman" w:hAnsi="Verdana"/>
                <w:sz w:val="20"/>
                <w:szCs w:val="20"/>
              </w:rPr>
              <w:t> </w:t>
            </w:r>
            <w:r>
              <w:rPr>
                <w:rFonts w:ascii="Calibri" w:eastAsia="Times New Roman" w:hAnsi="Calibri"/>
                <w:b/>
                <w:bCs/>
                <w:sz w:val="20"/>
                <w:szCs w:val="20"/>
              </w:rPr>
              <w:t>Customer can opt-out of Deposit Freedom</w:t>
            </w:r>
            <w:r>
              <w:rPr>
                <w:rFonts w:ascii="Verdana" w:eastAsia="Times New Roman" w:hAnsi="Verdana"/>
              </w:rPr>
              <w:t xml:space="preserve"> </w:t>
            </w:r>
          </w:p>
          <w:p w:rsidR="005B6443" w:rsidRDefault="005B6443">
            <w:pPr>
              <w:ind w:firstLine="105"/>
              <w:rPr>
                <w:rFonts w:ascii="Verdana" w:eastAsia="Times New Roman" w:hAnsi="Verdana"/>
                <w:sz w:val="20"/>
                <w:szCs w:val="20"/>
              </w:rPr>
            </w:pPr>
            <w:r>
              <w:rPr>
                <w:rFonts w:ascii="Verdana" w:eastAsia="Times New Roman" w:hAnsi="Verdana"/>
                <w:sz w:val="20"/>
                <w:szCs w:val="20"/>
              </w:rPr>
              <w:t>Customer can request to opt-out of Deposit Freedom so that they are not   considered for Deposit Freedom and will not receive any communications regarding Deposit Freedom eligibility.</w:t>
            </w:r>
          </w:p>
          <w:p w:rsidR="005B6443" w:rsidRDefault="005B6443">
            <w:pPr>
              <w:ind w:firstLine="2070"/>
              <w:rPr>
                <w:rFonts w:ascii="Verdana" w:eastAsia="Times New Roman" w:hAnsi="Verdana"/>
                <w:sz w:val="20"/>
                <w:szCs w:val="20"/>
              </w:rPr>
            </w:pPr>
            <w:r>
              <w:rPr>
                <w:rFonts w:ascii="Verdana" w:eastAsia="Times New Roman" w:hAnsi="Verdana"/>
                <w:sz w:val="20"/>
                <w:szCs w:val="20"/>
              </w:rPr>
              <w:t> </w:t>
            </w:r>
          </w:p>
          <w:p w:rsidR="005B6443" w:rsidRDefault="005B6443">
            <w:pPr>
              <w:ind w:firstLine="30"/>
              <w:rPr>
                <w:rFonts w:ascii="Verdana" w:eastAsia="Times New Roman" w:hAnsi="Verdana"/>
                <w:sz w:val="20"/>
                <w:szCs w:val="20"/>
              </w:rPr>
            </w:pPr>
            <w:r>
              <w:rPr>
                <w:rFonts w:ascii="Verdana" w:eastAsia="Times New Roman" w:hAnsi="Verdana"/>
                <w:b/>
                <w:bCs/>
                <w:sz w:val="20"/>
                <w:szCs w:val="20"/>
              </w:rPr>
              <w:t xml:space="preserve">Customer can opt-in at </w:t>
            </w:r>
            <w:proofErr w:type="spellStart"/>
            <w:r>
              <w:rPr>
                <w:rFonts w:ascii="Verdana" w:eastAsia="Times New Roman" w:hAnsi="Verdana"/>
                <w:b/>
                <w:bCs/>
                <w:sz w:val="20"/>
                <w:szCs w:val="20"/>
              </w:rPr>
              <w:t>anytime</w:t>
            </w:r>
            <w:proofErr w:type="spellEnd"/>
            <w:r>
              <w:rPr>
                <w:rFonts w:ascii="Verdana" w:eastAsia="Times New Roman" w:hAnsi="Verdana"/>
                <w:b/>
                <w:bCs/>
                <w:sz w:val="20"/>
                <w:szCs w:val="20"/>
              </w:rPr>
              <w:t>.</w:t>
            </w:r>
          </w:p>
          <w:p w:rsidR="005B6443" w:rsidRDefault="005B6443">
            <w:pPr>
              <w:ind w:firstLine="30"/>
              <w:rPr>
                <w:rFonts w:ascii="Verdana" w:eastAsia="Times New Roman" w:hAnsi="Verdana"/>
                <w:sz w:val="20"/>
                <w:szCs w:val="20"/>
              </w:rPr>
            </w:pPr>
            <w:r>
              <w:rPr>
                <w:rFonts w:ascii="Verdana" w:eastAsia="Times New Roman" w:hAnsi="Verdana"/>
                <w:sz w:val="20"/>
                <w:szCs w:val="20"/>
              </w:rPr>
              <w:t xml:space="preserve">Customer that chose to opt out of Deposit Freedom and wants to be considered for again can opt back in.  Customer can request to be </w:t>
            </w:r>
            <w:proofErr w:type="spellStart"/>
            <w:r>
              <w:rPr>
                <w:rFonts w:ascii="Verdana" w:eastAsia="Times New Roman" w:hAnsi="Verdana"/>
                <w:sz w:val="20"/>
                <w:szCs w:val="20"/>
              </w:rPr>
              <w:t>apart</w:t>
            </w:r>
            <w:proofErr w:type="spellEnd"/>
            <w:r>
              <w:rPr>
                <w:rFonts w:ascii="Verdana" w:eastAsia="Times New Roman" w:hAnsi="Verdana"/>
                <w:sz w:val="20"/>
                <w:szCs w:val="20"/>
              </w:rPr>
              <w:t xml:space="preserve"> of Deposit Freedom eligibility through </w:t>
            </w:r>
            <w:proofErr w:type="spellStart"/>
            <w:r>
              <w:rPr>
                <w:rFonts w:ascii="Verdana" w:eastAsia="Times New Roman" w:hAnsi="Verdana"/>
                <w:sz w:val="20"/>
                <w:szCs w:val="20"/>
              </w:rPr>
              <w:t>MyAccount</w:t>
            </w:r>
            <w:proofErr w:type="spellEnd"/>
            <w:r>
              <w:rPr>
                <w:rFonts w:ascii="Verdana" w:eastAsia="Times New Roman" w:hAnsi="Verdana"/>
                <w:sz w:val="20"/>
                <w:szCs w:val="20"/>
              </w:rPr>
              <w:t xml:space="preserve"> or contacting the call center.</w:t>
            </w:r>
          </w:p>
        </w:tc>
      </w:tr>
    </w:tbl>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b/>
          <w:bCs/>
          <w:sz w:val="22"/>
          <w:szCs w:val="22"/>
          <w:u w:val="single"/>
        </w:rPr>
      </w:pPr>
    </w:p>
    <w:p w:rsidR="005B6443" w:rsidRDefault="005B6443" w:rsidP="005B6443">
      <w:pPr>
        <w:rPr>
          <w:rFonts w:ascii="Calibri" w:eastAsia="Times New Roman" w:hAnsi="Calibri"/>
          <w:b/>
          <w:bCs/>
          <w:sz w:val="22"/>
          <w:szCs w:val="22"/>
          <w:u w:val="single"/>
        </w:rPr>
      </w:pPr>
    </w:p>
    <w:p w:rsidR="005B6443" w:rsidRDefault="005B6443" w:rsidP="005B6443">
      <w:pPr>
        <w:rPr>
          <w:rFonts w:ascii="Calibri" w:eastAsia="Times New Roman" w:hAnsi="Calibri"/>
          <w:b/>
          <w:bCs/>
          <w:sz w:val="22"/>
          <w:szCs w:val="22"/>
          <w:u w:val="single"/>
        </w:rPr>
      </w:pPr>
    </w:p>
    <w:p w:rsidR="005B6443" w:rsidRDefault="005B6443" w:rsidP="005B6443">
      <w:pPr>
        <w:rPr>
          <w:rFonts w:ascii="Calibri" w:eastAsia="Times New Roman" w:hAnsi="Calibri"/>
          <w:b/>
          <w:bCs/>
          <w:sz w:val="22"/>
          <w:szCs w:val="22"/>
          <w:u w:val="single"/>
        </w:rPr>
      </w:pPr>
    </w:p>
    <w:p w:rsidR="005B6443" w:rsidRDefault="005B6443" w:rsidP="005B6443">
      <w:pPr>
        <w:rPr>
          <w:rFonts w:ascii="Calibri" w:eastAsia="Times New Roman" w:hAnsi="Calibri"/>
          <w:b/>
          <w:bCs/>
          <w:sz w:val="22"/>
          <w:szCs w:val="22"/>
          <w:u w:val="single"/>
        </w:rPr>
      </w:pPr>
    </w:p>
    <w:p w:rsidR="005B6443" w:rsidRDefault="005B6443" w:rsidP="005B6443">
      <w:pPr>
        <w:rPr>
          <w:rFonts w:ascii="Calibri" w:eastAsia="Times New Roman" w:hAnsi="Calibri"/>
          <w:sz w:val="22"/>
          <w:szCs w:val="22"/>
        </w:rPr>
      </w:pPr>
      <w:r>
        <w:rPr>
          <w:rFonts w:ascii="Calibri" w:eastAsia="Times New Roman" w:hAnsi="Calibri"/>
          <w:b/>
          <w:bCs/>
          <w:sz w:val="22"/>
          <w:szCs w:val="22"/>
          <w:u w:val="single"/>
        </w:rPr>
        <w:lastRenderedPageBreak/>
        <w:t>Coming in September!</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b/>
          <w:bCs/>
          <w:sz w:val="22"/>
          <w:szCs w:val="22"/>
        </w:rPr>
        <w:t>Hive Phase I:  Home Hero 24 Month Plan</w:t>
      </w:r>
    </w:p>
    <w:p w:rsidR="005B6443" w:rsidRDefault="005B6443" w:rsidP="005B6443">
      <w:pPr>
        <w:rPr>
          <w:rFonts w:ascii="Calibri" w:eastAsia="Times New Roman" w:hAnsi="Calibri"/>
          <w:sz w:val="22"/>
          <w:szCs w:val="22"/>
        </w:rPr>
      </w:pPr>
      <w:r>
        <w:rPr>
          <w:rFonts w:ascii="Calibri" w:eastAsia="Times New Roman" w:hAnsi="Calibri"/>
          <w:sz w:val="22"/>
          <w:szCs w:val="22"/>
        </w:rPr>
        <w:t>When customers enroll in an energy</w:t>
      </w:r>
      <w:proofErr w:type="gramStart"/>
      <w:r>
        <w:rPr>
          <w:rFonts w:ascii="Calibri" w:eastAsia="Times New Roman" w:hAnsi="Calibri"/>
          <w:sz w:val="22"/>
          <w:szCs w:val="22"/>
        </w:rPr>
        <w:t>  commodity</w:t>
      </w:r>
      <w:proofErr w:type="gramEnd"/>
      <w:r>
        <w:rPr>
          <w:rFonts w:ascii="Calibri" w:eastAsia="Times New Roman" w:hAnsi="Calibri"/>
          <w:sz w:val="22"/>
          <w:szCs w:val="22"/>
        </w:rPr>
        <w:t xml:space="preserve"> plan that is bundled with the Hive Active Lights they will receive a starter kit shortly after their energy service begins at no additional charge.  The starter kit will include one (1) Hive Hub and two (2) A19 dimmable white light bulbs.</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Connected devices include:</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numPr>
          <w:ilvl w:val="0"/>
          <w:numId w:val="9"/>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Smart Lighting</w:t>
      </w:r>
    </w:p>
    <w:p w:rsidR="005B6443" w:rsidRDefault="005B6443" w:rsidP="005B6443">
      <w:pPr>
        <w:numPr>
          <w:ilvl w:val="0"/>
          <w:numId w:val="9"/>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Thermostats</w:t>
      </w:r>
    </w:p>
    <w:p w:rsidR="005B6443" w:rsidRDefault="005B6443" w:rsidP="005B6443">
      <w:pPr>
        <w:numPr>
          <w:ilvl w:val="0"/>
          <w:numId w:val="9"/>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Contact and Motion Sensors</w:t>
      </w:r>
    </w:p>
    <w:p w:rsidR="005B6443" w:rsidRDefault="005B6443" w:rsidP="005B6443">
      <w:pPr>
        <w:numPr>
          <w:ilvl w:val="0"/>
          <w:numId w:val="9"/>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Smart Plugs</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Please let me know if you have any questions.</w:t>
      </w:r>
    </w:p>
    <w:p w:rsidR="005B6443" w:rsidRDefault="005B6443" w:rsidP="005B6443">
      <w:pPr>
        <w:rPr>
          <w:rFonts w:ascii="Calibri" w:eastAsia="Times New Roman" w:hAnsi="Calibri"/>
          <w:sz w:val="22"/>
          <w:szCs w:val="22"/>
        </w:rPr>
      </w:pPr>
      <w:r>
        <w:rPr>
          <w:rFonts w:ascii="Calibri" w:eastAsia="Times New Roman" w:hAnsi="Calibri"/>
          <w:sz w:val="22"/>
          <w:szCs w:val="22"/>
        </w:rPr>
        <w:t> </w:t>
      </w:r>
    </w:p>
    <w:p w:rsidR="005B6443" w:rsidRDefault="005B6443" w:rsidP="005B6443">
      <w:pPr>
        <w:rPr>
          <w:rFonts w:ascii="Calibri" w:eastAsia="Times New Roman" w:hAnsi="Calibri"/>
          <w:sz w:val="22"/>
          <w:szCs w:val="22"/>
        </w:rPr>
      </w:pPr>
      <w:r>
        <w:rPr>
          <w:rFonts w:ascii="Calibri" w:eastAsia="Times New Roman" w:hAnsi="Calibri"/>
          <w:sz w:val="22"/>
          <w:szCs w:val="22"/>
        </w:rPr>
        <w:t>Russ</w:t>
      </w:r>
    </w:p>
    <w:p w:rsidR="00FD6109" w:rsidRDefault="00FD6109"/>
    <w:sectPr w:rsidR="00FD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3B93"/>
    <w:multiLevelType w:val="multilevel"/>
    <w:tmpl w:val="8590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0A0"/>
    <w:multiLevelType w:val="multilevel"/>
    <w:tmpl w:val="140C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91A68"/>
    <w:multiLevelType w:val="multilevel"/>
    <w:tmpl w:val="5636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E397F"/>
    <w:multiLevelType w:val="multilevel"/>
    <w:tmpl w:val="1A98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F4A9F"/>
    <w:multiLevelType w:val="multilevel"/>
    <w:tmpl w:val="D1A8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2CC7"/>
    <w:multiLevelType w:val="multilevel"/>
    <w:tmpl w:val="01B6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C4977"/>
    <w:multiLevelType w:val="multilevel"/>
    <w:tmpl w:val="20C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75DD5"/>
    <w:multiLevelType w:val="multilevel"/>
    <w:tmpl w:val="E5DA7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5927"/>
    <w:multiLevelType w:val="multilevel"/>
    <w:tmpl w:val="D392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43"/>
    <w:rsid w:val="005B6443"/>
    <w:rsid w:val="00FD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7BFD8-A088-4EAD-9DDE-ADE8CA56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44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443"/>
    <w:rPr>
      <w:color w:val="0000FF"/>
      <w:u w:val="single"/>
    </w:rPr>
  </w:style>
  <w:style w:type="character" w:styleId="FollowedHyperlink">
    <w:name w:val="FollowedHyperlink"/>
    <w:basedOn w:val="DefaultParagraphFont"/>
    <w:uiPriority w:val="99"/>
    <w:semiHidden/>
    <w:unhideWhenUsed/>
    <w:rsid w:val="005B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46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dhca.state.tx.us/texa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Ndiho, Jackson</dc:creator>
  <cp:keywords/>
  <dc:description/>
  <cp:lastModifiedBy>Ndiho, Jackson</cp:lastModifiedBy>
  <cp:revision>1</cp:revision>
  <dcterms:created xsi:type="dcterms:W3CDTF">2016-08-23T20:12:00Z</dcterms:created>
  <dcterms:modified xsi:type="dcterms:W3CDTF">2016-08-23T20:18:00Z</dcterms:modified>
</cp:coreProperties>
</file>