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修改generator.properties配置信息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Package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：包的前部分目录（到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dao、service、controller、entity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moduleName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：存放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Java类的最后一级包目录（在dao、service、controller、entity之后）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Author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：作者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Email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databaseName</w:t>
      </w: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：数据库名</w:t>
      </w:r>
    </w:p>
    <w:p>
      <w:pPr>
        <w:numPr>
          <w:ilvl w:val="0"/>
          <w:numId w:val="0"/>
        </w:num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drawing>
          <wp:inline distT="0" distB="0" distL="114300" distR="114300">
            <wp:extent cx="5269230" cy="2059305"/>
            <wp:effectExtent l="0" t="0" r="7620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59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修改application.yml配置（链接数据库配置）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963025" cy="37528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输入地址访问系统：</w:t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instrText xml:space="preserve"> HYPERLINK "http://localhost:8082/renren-generator/#generator.html" </w:instrTex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separate"/>
      </w:r>
      <w:r>
        <w:rPr>
          <w:rStyle w:val="3"/>
          <w:rFonts w:hint="eastAsia" w:ascii="Consolas" w:hAnsi="Consolas" w:eastAsia="宋体"/>
          <w:sz w:val="24"/>
          <w:highlight w:val="white"/>
          <w:lang w:val="en-US" w:eastAsia="zh-CN"/>
        </w:rPr>
        <w:t>http://localhost:8082/renren-generator/#generator.html</w:t>
      </w: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  <w:t>选择表名生成代码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915525" cy="5619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15525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C257C9F"/>
    <w:multiLevelType w:val="singleLevel"/>
    <w:tmpl w:val="FC257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AC46FB"/>
    <w:rsid w:val="1AA9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zhanglizeng</dc:creator>
  <cp:lastModifiedBy>zhanglizeng</cp:lastModifiedBy>
  <dcterms:modified xsi:type="dcterms:W3CDTF">2019-03-07T01:38:48Z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