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llonTable1"/>
        <w:tblW w:w="0" w:type="auto"/>
        <w:tblLayout w:type="fixed"/>
        <w:tblCellMar>
          <w:top w:w="29" w:type="dxa"/>
          <w:left w:w="86" w:type="dxa"/>
          <w:right w:w="86" w:type="dxa"/>
        </w:tblCellMar>
        <w:tblLook w:val="0600" w:firstRow="0" w:lastRow="0" w:firstColumn="0" w:lastColumn="0" w:noHBand="1" w:noVBand="1"/>
      </w:tblPr>
      <w:tblGrid>
        <w:gridCol w:w="864"/>
        <w:gridCol w:w="103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6613F0" w:rsidTr="006613F0">
        <w:tc>
          <w:tcPr>
            <w:tcW w:w="864" w:type="dxa"/>
            <w:vMerge w:val="restart"/>
          </w:tcPr>
          <w:p w:rsidR="006613F0" w:rsidRPr="00CC3C4F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Scenario</w:t>
            </w:r>
          </w:p>
        </w:tc>
        <w:tc>
          <w:tcPr>
            <w:tcW w:w="1032" w:type="dxa"/>
            <w:vMerge w:val="restart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Movement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AM Peak Hour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PM Peak Hour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Saturday Peak Hour</w:t>
            </w:r>
          </w:p>
        </w:tc>
      </w:tr>
      <w:tr w:rsidR="006613F0" w:rsidTr="006613F0">
        <w:tc>
          <w:tcPr>
            <w:tcW w:w="864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6613F0" w:rsidRPr="00CC3C4F" w:rsidRDefault="006613F0" w:rsidP="006613F0">
            <w:pPr>
              <w:pStyle w:val="Body"/>
              <w:spacing w:line="240" w:lineRule="auto"/>
              <w:jc w:val="center"/>
              <w:rPr>
                <w:i/>
                <w:color w:val="4472C4" w:themeColor="accent5"/>
                <w:sz w:val="18"/>
              </w:rPr>
            </w:pPr>
          </w:p>
        </w:tc>
        <w:tc>
          <w:tcPr>
            <w:tcW w:w="1032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</w:tr>
      <w:tr w:rsidR="006613F0" w:rsidRPr="00756357" w:rsidTr="006613F0">
        <w:tc>
          <w:tcPr>
            <w:tcW w:w="864" w:type="dxa"/>
            <w:vMerge w:val="restart"/>
            <w:tcBorders>
              <w:top w:val="thinThickLargeGap" w:sz="18" w:space="0" w:color="44546A" w:themeColor="text2"/>
            </w:tcBorders>
          </w:tcPr>
          <w:p>
            <w:r>
              <w:t xml:space="preserve"> Existing</w:t>
            </w:r>
          </w:p>
        </w:tc>
        <w:tc>
          <w:tcPr>
            <w:tcW w:w="103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EBTLR</w:t>
              <w:br/>
              <w:t>WBL</w:t>
              <w:br/>
              <w:t>WBTR</w:t>
              <w:br/>
              <w:t>NBL</w:t>
              <w:br/>
              <w:t>NBTR</w:t>
              <w:br/>
              <w:t>SBL</w:t>
              <w:br/>
              <w:t>SBTR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0.02</w:t>
              <w:br/>
              <w:t>0.06</w:t>
              <w:br/>
              <w:t>0.02</w:t>
              <w:br/>
              <w:t>0.05</w:t>
              <w:br/>
              <w:t>0.35</w:t>
              <w:br/>
              <w:t>0.03</w:t>
              <w:br/>
              <w:t>0.50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A</w:t>
              <w:br/>
              <w:t>D</w:t>
              <w:br/>
              <w:t>A</w:t>
              <w:br/>
              <w:t>A</w:t>
              <w:br/>
              <w:t>A</w:t>
              <w:br/>
              <w:t>A</w:t>
              <w:br/>
              <w:t>A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0.3</w:t>
              <w:br/>
              <w:t>53.7</w:t>
              <w:br/>
              <w:t>0.2</w:t>
              <w:br/>
              <w:t>1.6</w:t>
              <w:br/>
              <w:t>0.9</w:t>
              <w:br/>
              <w:t>1.2</w:t>
              <w:br/>
              <w:t>2.1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0</w:t>
              <w:br/>
              <w:t>7</w:t>
              <w:br/>
              <w:t>0</w:t>
              <w:br/>
              <w:t>0</w:t>
              <w:br/>
              <w:t>11</w:t>
              <w:br/>
              <w:t>1</w:t>
              <w:br/>
              <w:t>56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0.09</w:t>
              <w:br/>
              <w:t>0.33</w:t>
              <w:br/>
              <w:t>0.12</w:t>
              <w:br/>
              <w:t>0.01</w:t>
              <w:br/>
              <w:t>0.62</w:t>
              <w:br/>
              <w:t>0.20</w:t>
              <w:br/>
              <w:t>0.45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A</w:t>
              <w:br/>
              <w:t>E</w:t>
              <w:br/>
              <w:t>A</w:t>
              <w:br/>
              <w:t>A</w:t>
              <w:br/>
              <w:t>A</w:t>
              <w:br/>
              <w:t>A</w:t>
              <w:br/>
              <w:t>A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1.2</w:t>
              <w:br/>
              <w:t>71.2</w:t>
              <w:br/>
              <w:t>1.2</w:t>
              <w:br/>
              <w:t>1.3</w:t>
              <w:br/>
              <w:t>1.9</w:t>
              <w:br/>
              <w:t>1.7</w:t>
              <w:br/>
              <w:t>1.0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0</w:t>
              <w:br/>
              <w:t>19</w:t>
              <w:br/>
              <w:t>0</w:t>
              <w:br/>
              <w:t>0</w:t>
              <w:br/>
              <w:t>17</w:t>
              <w:br/>
              <w:t>1</w:t>
              <w:br/>
              <w:t>14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0.02</w:t>
              <w:br/>
              <w:t>0.56</w:t>
              <w:br/>
              <w:t>0.19</w:t>
              <w:br/>
              <w:t>0.01</w:t>
              <w:br/>
              <w:t>0.62</w:t>
              <w:br/>
              <w:t>0.19</w:t>
              <w:br/>
              <w:t>0.59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A</w:t>
              <w:br/>
              <w:t>E</w:t>
              <w:br/>
              <w:t>A</w:t>
              <w:br/>
              <w:t>A</w:t>
              <w:br/>
              <w:t>A</w:t>
              <w:br/>
              <w:t>A</w:t>
              <w:br/>
              <w:t>A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0.2</w:t>
              <w:br/>
              <w:t>58.3</w:t>
              <w:br/>
              <w:t>1.3</w:t>
              <w:br/>
              <w:t>1.5</w:t>
              <w:br/>
              <w:t>2.6</w:t>
              <w:br/>
              <w:t>2.0</w:t>
              <w:br/>
              <w:t>1.8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0</w:t>
              <w:br/>
              <w:t>34</w:t>
              <w:br/>
              <w:t>0</w:t>
              <w:br/>
              <w:t>0</w:t>
              <w:br/>
              <w:t>10</w:t>
              <w:br/>
              <w:t>2</w:t>
              <w:br/>
              <w:t>21</w:t>
            </w:r>
          </w:p>
        </w:tc>
      </w:tr>
      <w:tr w:rsidR="006613F0" w:rsidTr="006613F0">
        <w:tc>
          <w:tcPr>
            <w:tcW w:w="864" w:type="dxa"/>
            <w:vMerge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1.7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2.2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3.8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6613F0" w:rsidTr="006613F0">
        <w:tc>
          <w:tcPr>
            <w:tcW w:w="864" w:type="dxa"/>
            <w:vMerge w:val="restart"/>
          </w:tcPr>
          <w:p>
            <w:r>
              <w:t>2026 Future Background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>
            <w:r>
              <w:t>EBTLR</w:t>
              <w:br/>
              <w:t>WBL</w:t>
              <w:br/>
              <w:t>WBTR</w:t>
              <w:br/>
              <w:t>NBL</w:t>
              <w:br/>
              <w:t>NBTR</w:t>
              <w:br/>
              <w:t>SBL</w:t>
              <w:br/>
              <w:t>SBTR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0.02</w:t>
              <w:br/>
              <w:t>0.06</w:t>
              <w:br/>
              <w:t>0.02</w:t>
              <w:br/>
              <w:t>0.05</w:t>
              <w:br/>
              <w:t>0.37</w:t>
              <w:br/>
              <w:t>0.03</w:t>
              <w:br/>
              <w:t>0.53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A</w:t>
              <w:br/>
              <w:t>D</w:t>
              <w:br/>
              <w:t>A</w:t>
              <w:br/>
              <w:t>A</w:t>
              <w:br/>
              <w:t>A</w:t>
              <w:br/>
              <w:t>A</w:t>
              <w:br/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0.3</w:t>
              <w:br/>
              <w:t>53.7</w:t>
              <w:br/>
              <w:t>0.2</w:t>
              <w:br/>
              <w:t>1.6</w:t>
              <w:br/>
              <w:t>0.9</w:t>
              <w:br/>
              <w:t>1.3</w:t>
              <w:br/>
              <w:t>2.3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>
            <w:r>
              <w:t>0</w:t>
              <w:br/>
              <w:t>7</w:t>
              <w:br/>
              <w:t>0</w:t>
              <w:br/>
              <w:t>0</w:t>
              <w:br/>
              <w:t>11</w:t>
              <w:br/>
              <w:t>1</w:t>
              <w:br/>
              <w:t>59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>
            <w:r>
              <w:t>0.09</w:t>
              <w:br/>
              <w:t>0.33</w:t>
              <w:br/>
              <w:t>0.13</w:t>
              <w:br/>
              <w:t>0.02</w:t>
              <w:br/>
              <w:t>0.65</w:t>
              <w:br/>
              <w:t>0.21</w:t>
              <w:br/>
              <w:t>0.48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A</w:t>
              <w:br/>
              <w:t>E</w:t>
              <w:br/>
              <w:t>A</w:t>
              <w:br/>
              <w:t>A</w:t>
              <w:br/>
              <w:t>A</w:t>
              <w:br/>
              <w:t>A</w:t>
              <w:br/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1.2</w:t>
              <w:br/>
              <w:t>71.2</w:t>
              <w:br/>
              <w:t>1.2</w:t>
              <w:br/>
              <w:t>1.3</w:t>
              <w:br/>
              <w:t>2.3</w:t>
              <w:br/>
              <w:t>2.3</w:t>
              <w:br/>
              <w:t>1.1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0</w:t>
              <w:br/>
              <w:t>19</w:t>
              <w:br/>
              <w:t>0</w:t>
              <w:br/>
              <w:t>0</w:t>
              <w:br/>
              <w:t>16</w:t>
              <w:br/>
              <w:t>1</w:t>
              <w:br/>
              <w:t>15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0.02</w:t>
              <w:br/>
              <w:t>0.56</w:t>
              <w:br/>
              <w:t>0.19</w:t>
              <w:br/>
              <w:t>0.02</w:t>
              <w:br/>
              <w:t>0.65</w:t>
              <w:br/>
              <w:t>0.20</w:t>
              <w:br/>
              <w:t>0.61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A</w:t>
              <w:br/>
              <w:t>E</w:t>
              <w:br/>
              <w:t>A</w:t>
              <w:br/>
              <w:t>A</w:t>
              <w:br/>
              <w:t>A</w:t>
              <w:br/>
              <w:t>A</w:t>
              <w:br/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0.2</w:t>
              <w:br/>
              <w:t>58.3</w:t>
              <w:br/>
              <w:t>1.3</w:t>
              <w:br/>
              <w:t>1.5</w:t>
              <w:br/>
              <w:t>2.7</w:t>
              <w:br/>
              <w:t>2.1</w:t>
              <w:br/>
              <w:t>1.9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0</w:t>
              <w:br/>
              <w:t>34</w:t>
              <w:br/>
              <w:t>0</w:t>
              <w:br/>
              <w:t>0</w:t>
              <w:br/>
              <w:t>11</w:t>
              <w:br/>
              <w:t>2</w:t>
              <w:br/>
              <w:t>22</w:t>
            </w:r>
          </w:p>
        </w:tc>
      </w:tr>
      <w:tr w:rsidR="006613F0" w:rsidTr="004A518E">
        <w:tc>
          <w:tcPr>
            <w:tcW w:w="864" w:type="dxa"/>
            <w:vMerge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1.8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2.4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3.8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2F5A7A" w:rsidTr="004A518E">
        <w:tc>
          <w:tcPr>
            <w:tcW w:w="864" w:type="dxa"/>
            <w:vMerge w:val="restart"/>
          </w:tcPr>
          <w:p>
            <w:r>
              <w:t>2026 Total Future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>
            <w:r>
              <w:t>EBTLR</w:t>
              <w:br/>
              <w:t>WBL</w:t>
              <w:br/>
              <w:t>WBTR</w:t>
              <w:br/>
              <w:t>NBL</w:t>
              <w:br/>
              <w:t>NBTR</w:t>
              <w:br/>
              <w:t>SBL</w:t>
              <w:br/>
              <w:t>SBTR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0.02</w:t>
              <w:br/>
              <w:t>0.06</w:t>
              <w:br/>
              <w:t>0.02</w:t>
              <w:br/>
              <w:t>0.06</w:t>
              <w:br/>
              <w:t>0.38</w:t>
              <w:br/>
              <w:t>0.03</w:t>
              <w:br/>
              <w:t>0.53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A</w:t>
              <w:br/>
              <w:t>D</w:t>
              <w:br/>
              <w:t>A</w:t>
              <w:br/>
              <w:t>A</w:t>
              <w:br/>
              <w:t>A</w:t>
              <w:br/>
              <w:t>A</w:t>
              <w:br/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0.3</w:t>
              <w:br/>
              <w:t>53.7</w:t>
              <w:br/>
              <w:t>0.2</w:t>
              <w:br/>
              <w:t>1.6</w:t>
              <w:br/>
              <w:t>0.9</w:t>
              <w:br/>
              <w:t>1.3</w:t>
              <w:br/>
              <w:t>2.3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>
            <w:r>
              <w:t>0</w:t>
              <w:br/>
              <w:t>7</w:t>
              <w:br/>
              <w:t>0</w:t>
              <w:br/>
              <w:t>0</w:t>
              <w:br/>
              <w:t>11</w:t>
              <w:br/>
              <w:t>1</w:t>
              <w:br/>
              <w:t>60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>
            <w:r>
              <w:t>0.09</w:t>
              <w:br/>
              <w:t>0.33</w:t>
              <w:br/>
              <w:t>0.13</w:t>
              <w:br/>
              <w:t>0.02</w:t>
              <w:br/>
              <w:t>0.66</w:t>
              <w:br/>
              <w:t>0.22</w:t>
              <w:br/>
              <w:t>0.49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A</w:t>
              <w:br/>
              <w:t>E</w:t>
              <w:br/>
              <w:t>A</w:t>
              <w:br/>
              <w:t>A</w:t>
              <w:br/>
              <w:t>A</w:t>
              <w:br/>
              <w:t>A</w:t>
              <w:br/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1.2</w:t>
              <w:br/>
              <w:t>71.2</w:t>
              <w:br/>
              <w:t>1.3</w:t>
              <w:br/>
              <w:t>1.7</w:t>
              <w:br/>
              <w:t>2.4</w:t>
              <w:br/>
              <w:t>2.8</w:t>
              <w:br/>
              <w:t>1.1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0</w:t>
              <w:br/>
              <w:t>19</w:t>
              <w:br/>
              <w:t>0</w:t>
              <w:br/>
              <w:t>0</w:t>
              <w:br/>
              <w:t>17</w:t>
              <w:br/>
              <w:t>1</w:t>
              <w:br/>
              <w:t>16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0.02</w:t>
              <w:br/>
              <w:t>0.56</w:t>
              <w:br/>
              <w:t>0.19</w:t>
              <w:br/>
              <w:t>0.02</w:t>
              <w:br/>
              <w:t>0.67</w:t>
              <w:br/>
              <w:t>0.21</w:t>
              <w:br/>
              <w:t>0.63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A</w:t>
              <w:br/>
              <w:t>E</w:t>
              <w:br/>
              <w:t>A</w:t>
              <w:br/>
              <w:t>A</w:t>
              <w:br/>
              <w:t>A</w:t>
              <w:br/>
              <w:t>A</w:t>
              <w:br/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0.2</w:t>
              <w:br/>
              <w:t>58.3</w:t>
              <w:br/>
              <w:t>1.3</w:t>
              <w:br/>
              <w:t>1.5</w:t>
              <w:br/>
              <w:t>2.8</w:t>
              <w:br/>
              <w:t>2.3</w:t>
              <w:br/>
              <w:t>2.1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0</w:t>
              <w:br/>
              <w:t>34</w:t>
              <w:br/>
              <w:t>0</w:t>
              <w:br/>
              <w:t>0</w:t>
              <w:br/>
              <w:t>11</w:t>
              <w:br/>
              <w:t>2</w:t>
              <w:br/>
              <w:t>24</w:t>
            </w:r>
          </w:p>
        </w:tc>
      </w:tr>
      <w:tr w:rsidR="002F5A7A" w:rsidTr="004A518E">
        <w:tc>
          <w:tcPr>
            <w:tcW w:w="864" w:type="dxa"/>
            <w:vMerge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1.9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2.4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A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3.9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2F5A7A" w:rsidTr="004A518E">
        <w:tc>
          <w:tcPr>
            <w:tcW w:w="864" w:type="dxa"/>
            <w:vMerge w:val="restart"/>
          </w:tcPr>
          <w:p>
            <w:r>
              <w:t xml:space="preserve"> Total Future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2F5A7A" w:rsidTr="004A518E">
        <w:tc>
          <w:tcPr>
            <w:tcW w:w="864" w:type="dxa"/>
            <w:vMerge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311E20" w:rsidRPr="00302D3D" w:rsidTr="00B76BF0">
        <w:tc>
          <w:tcPr>
            <w:tcW w:w="864" w:type="dxa"/>
            <w:vMerge w:val="restart"/>
          </w:tcPr>
          <w:p>
            <w:r>
              <w:t xml:space="preserve"> Total Future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311E20" w:rsidRPr="00302D3D" w:rsidTr="00B76BF0">
        <w:tc>
          <w:tcPr>
            <w:tcW w:w="864" w:type="dxa"/>
            <w:vMerge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</w:tbl>
    <w:p w:rsidR="00DD5A76" w:rsidRDefault="00311E20">
      <w:r>
        <w:t xml:space="preserve"> </w:t>
      </w:r>
      <w:r w:rsidR="00C14F37">
        <w:t>[</w:t>
      </w:r>
      <w:proofErr w:type="gramStart"/>
      <w:r w:rsidR="00C14F37">
        <w:t>to</w:t>
      </w:r>
      <w:proofErr w:type="gramEnd"/>
      <w:r w:rsidR="00C14F37">
        <w:t xml:space="preserve"> be replaced with intersection name by python script</w:t>
      </w:r>
      <w:r w:rsidR="00DD5A76">
        <w:t>]</w:t>
      </w:r>
    </w:p>
    <w:p>
      <w:r>
        <w:t>Appleby Line &amp; IcePlex</w:t>
      </w:r>
    </w:p>
    <w:p>
      <w:r>
        <w:t>Appleby Line &amp; IcePlex</w:t>
      </w:r>
    </w:p>
    <w:p>
      <w:r>
        <w:t>Appleby Line &amp; IcePlex</w:t>
      </w:r>
    </w:p>
    <w:p>
      <w:r>
        <w:t>Appleby Line &amp; IcePlex</w:t>
      </w:r>
    </w:p>
    <w:p>
      <w:r>
        <w:t>Appleby Line &amp; IcePlex</w:t>
      </w:r>
    </w:p>
    <w:p>
      <w:r>
        <w:t>Appleby Line &amp; IcePlex</w:t>
      </w:r>
    </w:p>
    <w:p>
      <w:r>
        <w:t>Appleby Line &amp; IcePlex</w:t>
      </w:r>
    </w:p>
    <w:p>
      <w:r>
        <w:t>Appleby Line &amp; IcePlex</w:t>
      </w:r>
    </w:p>
    <w:p>
      <w:r>
        <w:t>Appleby Line &amp; IcePlex</w:t>
      </w:r>
    </w:p>
    <w:sectPr w:rsidR="00DD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MTQyMjMxNTGxtLBQ0lEKTi0uzszPAykwtKwFAACsYAItAAAA"/>
  </w:docVars>
  <w:rsids>
    <w:rsidRoot w:val="004E1DA3"/>
    <w:rsid w:val="000319B0"/>
    <w:rsid w:val="00096AEB"/>
    <w:rsid w:val="00144C1F"/>
    <w:rsid w:val="00262FD4"/>
    <w:rsid w:val="002F5A7A"/>
    <w:rsid w:val="00302D3D"/>
    <w:rsid w:val="00311E20"/>
    <w:rsid w:val="003464CC"/>
    <w:rsid w:val="00373EA3"/>
    <w:rsid w:val="004A518E"/>
    <w:rsid w:val="004E1DA3"/>
    <w:rsid w:val="004E3B6B"/>
    <w:rsid w:val="00546470"/>
    <w:rsid w:val="006613F0"/>
    <w:rsid w:val="00684EAA"/>
    <w:rsid w:val="007B50D4"/>
    <w:rsid w:val="009C41FC"/>
    <w:rsid w:val="00A35BB8"/>
    <w:rsid w:val="00C14F37"/>
    <w:rsid w:val="00C33D94"/>
    <w:rsid w:val="00C57943"/>
    <w:rsid w:val="00CE5F4F"/>
    <w:rsid w:val="00DD5A76"/>
    <w:rsid w:val="00F27339"/>
    <w:rsid w:val="00F30FEF"/>
    <w:rsid w:val="00F649B5"/>
    <w:rsid w:val="00F92840"/>
    <w:rsid w:val="00FB1C5A"/>
    <w:rsid w:val="00FC2BD7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DDDA1-C8DF-4BF1-8757-B2F8B241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4E1DA3"/>
    <w:pPr>
      <w:spacing w:after="120" w:line="260" w:lineRule="exact"/>
    </w:pPr>
    <w:rPr>
      <w:rFonts w:ascii="Calibri" w:eastAsiaTheme="minorEastAsia" w:hAnsi="Calibri"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llonTable1">
    <w:name w:val="DillonTable_1"/>
    <w:basedOn w:val="TableGrid"/>
    <w:uiPriority w:val="99"/>
    <w:rsid w:val="004E1DA3"/>
    <w:pPr>
      <w:spacing w:line="216" w:lineRule="auto"/>
      <w:jc w:val="center"/>
    </w:pPr>
    <w:rPr>
      <w:rFonts w:ascii="Calibri" w:eastAsiaTheme="minorEastAsia" w:hAnsi="Calibri"/>
      <w:color w:val="000000" w:themeColor="text1"/>
      <w:sz w:val="20"/>
      <w:szCs w:val="20"/>
      <w:lang w:val="en-US" w:eastAsia="ja-JP"/>
    </w:rPr>
    <w:tblPr>
      <w:tblStyleRowBandSize w:val="1"/>
      <w:tblBorders>
        <w:top w:val="single" w:sz="2" w:space="0" w:color="44546A" w:themeColor="text2"/>
        <w:left w:val="none" w:sz="0" w:space="0" w:color="auto"/>
        <w:bottom w:val="single" w:sz="2" w:space="0" w:color="44546A" w:themeColor="text2"/>
        <w:right w:val="none" w:sz="0" w:space="0" w:color="auto"/>
        <w:insideH w:val="single" w:sz="2" w:space="0" w:color="44546A" w:themeColor="text2"/>
        <w:insideV w:val="single" w:sz="2" w:space="0" w:color="44546A" w:themeColor="text2"/>
      </w:tblBorders>
      <w:tblCellMar>
        <w:top w:w="48" w:type="dxa"/>
        <w:left w:w="24" w:type="dxa"/>
        <w:bottom w:w="24" w:type="dxa"/>
        <w:right w:w="24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color w:val="4472C4" w:themeColor="accent5"/>
        <w:sz w:val="22"/>
      </w:rPr>
      <w:tblPr/>
      <w:trPr>
        <w:tblHeader/>
      </w:trPr>
      <w:tcPr>
        <w:tcBorders>
          <w:bottom w:val="thinThickLargeGap" w:sz="18" w:space="0" w:color="44546A" w:themeColor="text2"/>
        </w:tcBorders>
        <w:shd w:val="clear" w:color="auto" w:fill="FFFFFF" w:themeFill="background1"/>
      </w:tcPr>
    </w:tblStylePr>
    <w:tblStylePr w:type="lastRow">
      <w:rPr>
        <w:rFonts w:ascii="Calibri" w:hAnsi="Calibri"/>
        <w:b/>
        <w:color w:val="44546A" w:themeColor="text2"/>
        <w:sz w:val="20"/>
      </w:rPr>
      <w:tblPr/>
      <w:tcPr>
        <w:tcBorders>
          <w:top w:val="thinThickLargeGap" w:sz="18" w:space="0" w:color="44546A" w:themeColor="text2"/>
          <w:bottom w:val="nil"/>
        </w:tcBorders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</w:tblStylePr>
    <w:tblStylePr w:type="band2Horz">
      <w:tblPr/>
      <w:tcPr>
        <w:shd w:val="clear" w:color="auto" w:fill="FFFFFF" w:themeFill="background1"/>
      </w:tcPr>
    </w:tblStylePr>
    <w:tblStylePr w:type="nwCell">
      <w:pPr>
        <w:jc w:val="left"/>
      </w:pPr>
    </w:tblStylePr>
  </w:style>
  <w:style w:type="paragraph" w:customStyle="1" w:styleId="Body">
    <w:name w:val="Body"/>
    <w:link w:val="BodyChar"/>
    <w:uiPriority w:val="23"/>
    <w:qFormat/>
    <w:rsid w:val="004E1DA3"/>
    <w:pPr>
      <w:spacing w:after="0" w:line="276" w:lineRule="auto"/>
      <w:jc w:val="both"/>
    </w:pPr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character" w:customStyle="1" w:styleId="BodyChar">
    <w:name w:val="Body Char"/>
    <w:basedOn w:val="DefaultParagraphFont"/>
    <w:link w:val="Body"/>
    <w:uiPriority w:val="23"/>
    <w:rsid w:val="004E1DA3"/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table" w:styleId="TableGrid">
    <w:name w:val="Table Grid"/>
    <w:basedOn w:val="TableNormal"/>
    <w:uiPriority w:val="39"/>
    <w:rsid w:val="004E1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Dillon Consulting Limited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30</cp:revision>
  <dcterms:created xsi:type="dcterms:W3CDTF">2020-04-19T03:40:00Z</dcterms:created>
  <dcterms:modified xsi:type="dcterms:W3CDTF">2021-01-11T21:23:00Z</dcterms:modified>
</cp:coreProperties>
</file>