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9360" w:type="dxa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901"/>
        <w:gridCol w:w="1063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</w:tblGrid>
      <w:tr w:rsidR="00D83DF9" w:rsidRPr="00801885" w:rsidTr="00D83DF9">
        <w:tc>
          <w:tcPr>
            <w:tcW w:w="901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Scenario</w:t>
            </w:r>
          </w:p>
        </w:tc>
        <w:tc>
          <w:tcPr>
            <w:tcW w:w="1063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Movement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66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D83DF9" w:rsidRPr="00801885" w:rsidTr="00D83DF9">
        <w:trPr>
          <w:trHeight w:val="537"/>
        </w:trPr>
        <w:tc>
          <w:tcPr>
            <w:tcW w:w="901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i/>
                <w:color w:val="4472C4" w:themeColor="accent5"/>
                <w:sz w:val="18"/>
                <w:szCs w:val="16"/>
              </w:rPr>
            </w:pPr>
          </w:p>
        </w:tc>
        <w:tc>
          <w:tcPr>
            <w:tcW w:w="1063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</w:tr>
      <w:tr w:rsidR="00D83DF9" w:rsidRPr="00801885" w:rsidTr="00D83DF9">
        <w:tc>
          <w:tcPr>
            <w:tcW w:w="901" w:type="dxa"/>
          </w:tcPr>
          <w:p>
            <w:r>
              <w:t xml:space="preserve"> Existing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0.01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12.7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0.04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14.4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0.03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12.1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1</w:t>
            </w:r>
          </w:p>
        </w:tc>
      </w:tr>
      <w:tr w:rsidR="00D83DF9" w:rsidRPr="00801885" w:rsidTr="00D83DF9">
        <w:tc>
          <w:tcPr>
            <w:tcW w:w="901" w:type="dxa"/>
          </w:tcPr>
          <w:p>
            <w:r>
              <w:t>2026 Future Background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0.01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13.2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0.04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14.4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0.03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11.8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1</w:t>
            </w:r>
          </w:p>
        </w:tc>
      </w:tr>
      <w:tr w:rsidR="00146224" w:rsidRPr="00801885" w:rsidTr="00D83DF9">
        <w:tc>
          <w:tcPr>
            <w:tcW w:w="901" w:type="dxa"/>
          </w:tcPr>
          <w:p>
            <w:r>
              <w:t>2026 Total Future</w:t>
            </w:r>
          </w:p>
        </w:tc>
        <w:tc>
          <w:tcPr>
            <w:tcW w:w="1063" w:type="dxa"/>
            <w:tcBorders>
              <w:left w:val="nil"/>
            </w:tcBorders>
          </w:tcPr>
          <w:p>
            <w:r>
              <w:t>WBL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0.01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13.5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0.04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14.2</w:t>
            </w:r>
          </w:p>
        </w:tc>
        <w:tc>
          <w:tcPr>
            <w:tcW w:w="616" w:type="dxa"/>
            <w:tcBorders>
              <w:left w:val="nil"/>
            </w:tcBorders>
          </w:tcPr>
          <w:p>
            <w:r>
              <w:t>1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>
            <w:r>
              <w:t>0.03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>
            <w:r>
              <w:t>11.9</w:t>
            </w:r>
          </w:p>
        </w:tc>
        <w:tc>
          <w:tcPr>
            <w:tcW w:w="617" w:type="dxa"/>
            <w:tcBorders>
              <w:left w:val="nil"/>
            </w:tcBorders>
          </w:tcPr>
          <w:p>
            <w:r>
              <w:t>1</w:t>
            </w:r>
          </w:p>
        </w:tc>
        <w:bookmarkStart w:id="0" w:name="_GoBack"/>
        <w:bookmarkEnd w:id="0"/>
      </w:tr>
      <w:tr w:rsidR="00146224" w:rsidRPr="00801885" w:rsidTr="00D83DF9">
        <w:tc>
          <w:tcPr>
            <w:tcW w:w="901" w:type="dxa"/>
          </w:tcPr>
          <w:p>
            <w:r>
              <w:t xml:space="preserve"> Total Future</w:t>
            </w:r>
          </w:p>
        </w:tc>
        <w:tc>
          <w:tcPr>
            <w:tcW w:w="1063" w:type="dxa"/>
            <w:tcBorders>
              <w:left w:val="nil"/>
            </w:tcBorders>
          </w:tcPr>
          <w:p w:rsidR="00146224" w:rsidRDefault="00146224" w:rsidP="00146224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</w:tr>
      <w:tr w:rsidR="00D93F19" w:rsidRPr="00801885" w:rsidTr="00D83DF9">
        <w:tc>
          <w:tcPr>
            <w:tcW w:w="901" w:type="dxa"/>
          </w:tcPr>
          <w:p>
            <w:r>
              <w:t xml:space="preserve"> Total Future</w:t>
            </w:r>
          </w:p>
        </w:tc>
        <w:tc>
          <w:tcPr>
            <w:tcW w:w="1063" w:type="dxa"/>
            <w:tcBorders>
              <w:left w:val="nil"/>
            </w:tcBorders>
          </w:tcPr>
          <w:p w:rsidR="00D93F19" w:rsidRDefault="00D93F19" w:rsidP="00D93F19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</w:tr>
    </w:tbl>
    <w:p w:rsidR="00C5785E" w:rsidRDefault="00D93F19">
      <w:pPr>
        <w:rPr>
          <w:sz w:val="24"/>
        </w:rPr>
      </w:pPr>
    </w:p>
    <w:p w:rsidR="003463BC" w:rsidRPr="003463BC" w:rsidRDefault="00761B5B">
      <w:r>
        <w:t>[</w:t>
      </w:r>
      <w:proofErr w:type="gramStart"/>
      <w:r>
        <w:t>to</w:t>
      </w:r>
      <w:proofErr w:type="gramEnd"/>
      <w:r>
        <w:t xml:space="preserve"> be replaced with intersection name by python script]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p>
      <w:r>
        <w:t>Appleby Line &amp; Storage Spot A&amp;W</w:t>
      </w:r>
    </w:p>
    <w:sectPr w:rsidR="003463BC" w:rsidRPr="0034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sbQwtgSyDIwtTZV0lIJTi4sz8/NACgwNawH+ySMvLQAAAA=="/>
  </w:docVars>
  <w:rsids>
    <w:rsidRoot w:val="003C41AB"/>
    <w:rsid w:val="00035BA8"/>
    <w:rsid w:val="00146224"/>
    <w:rsid w:val="002F2DBE"/>
    <w:rsid w:val="003463BC"/>
    <w:rsid w:val="00373EA3"/>
    <w:rsid w:val="003C41AB"/>
    <w:rsid w:val="00580B9B"/>
    <w:rsid w:val="00761B5B"/>
    <w:rsid w:val="00776E95"/>
    <w:rsid w:val="00801885"/>
    <w:rsid w:val="008A6258"/>
    <w:rsid w:val="008F405F"/>
    <w:rsid w:val="00A342F3"/>
    <w:rsid w:val="00AD7DBD"/>
    <w:rsid w:val="00C56210"/>
    <w:rsid w:val="00CF1185"/>
    <w:rsid w:val="00D83DF9"/>
    <w:rsid w:val="00D93F19"/>
    <w:rsid w:val="00F374FD"/>
    <w:rsid w:val="00F74224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0885-8422-4BA3-9EA6-52C0C24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F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kern w:val="12"/>
      <w:szCs w:val="20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F374FD"/>
    <w:pPr>
      <w:spacing w:line="216" w:lineRule="auto"/>
      <w:jc w:val="center"/>
    </w:pPr>
    <w:rPr>
      <w:rFonts w:ascii="Calibri" w:eastAsiaTheme="minorEastAsia" w:hAnsi="Calibri"/>
      <w:bCs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F374FD"/>
    <w:pPr>
      <w:spacing w:after="0" w:line="240" w:lineRule="auto"/>
      <w:jc w:val="both"/>
    </w:pPr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character" w:customStyle="1" w:styleId="BodyChar">
    <w:name w:val="Body Char"/>
    <w:link w:val="Body"/>
    <w:uiPriority w:val="23"/>
    <w:rsid w:val="00F374FD"/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table" w:styleId="TableGrid">
    <w:name w:val="Table Grid"/>
    <w:basedOn w:val="TableNormal"/>
    <w:uiPriority w:val="39"/>
    <w:rsid w:val="00F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>Dillon Consulting Limited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18</cp:revision>
  <dcterms:created xsi:type="dcterms:W3CDTF">2020-04-21T13:37:00Z</dcterms:created>
  <dcterms:modified xsi:type="dcterms:W3CDTF">2021-01-11T21:22:00Z</dcterms:modified>
</cp:coreProperties>
</file>