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 vs uplands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 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i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Q1: 0-67 / Q1: 0-4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Q1: 0-67 / Q2: 4-6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Q1: 0-67 / Q3: 6-8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Q1: 0-67 / Q4: 8-25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Q2: 67-99 / Q1: 0-4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Q2: 67-99 / Q2: 4-6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Q2: 67-99 / Q3: 6-8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Q2: 67-99 / Q4: 8-25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Q3: 99-125 / Q1: 0-4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Q3: 99-125 / Q2: 4-6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Q3: 99-125 / Q3: 6-8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Q3: 99-125 / Q4: 8-25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Q4: 125-235 / Q1: 0-4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Q4: 125-235 / Q2: 4-6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Q4: 125-235 / Q3: 6-8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Q4: 125-235 / Q4: 8-25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† n &lt; 100; </w:t>
            </w:r>
            <w:r>
              <w:rPr>
                <w:i/>
                <w:rFonts w:ascii="Calibri" w:hAnsi="Calibri"/>
                <w:sz w:val="20"/>
              </w:rPr>
              <w:t xml:space="preserve">p</w:t>
            </w:r>
            <w:r>
              <w:rPr>
                <w:rFonts w:ascii="Calibri" w:hAnsi="Calibri"/>
                <w:sz w:val="20"/>
              </w:rPr>
              <w:t xml:space="preserve">-values should be interpreted with caution due to limited statistical power.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2026-10-20T01:24:45Z</dcterms:created>
  <dcterms:modified xsi:type="dcterms:W3CDTF">2026-10-20T01:24:45Z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