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Jack Al-Kahwati</w:t>
      </w:r>
      <w:r>
        <w:br/>
      </w:r>
      <w:r>
        <w:t xml:space="preserve">StarDrive Research Group</w:t>
      </w:r>
      <w:r>
        <w:br/>
      </w:r>
      <w:r>
        <w:t xml:space="preserve">jack@thestardrive.com</w:t>
      </w:r>
    </w:p>
    <w:p>
      <w:pPr>
        <w:pStyle w:val="FirstParagraph"/>
      </w:pPr>
      <w:r>
        <w:t xml:space="preserve"> </w:t>
      </w:r>
      <w:r>
        <w:t xml:space="preserve">Editorial Board</w:t>
      </w:r>
      <w:r>
        <w:br/>
      </w:r>
      <w:r>
        <w:rPr>
          <w:i/>
          <w:iCs/>
        </w:rPr>
        <w:t xml:space="preserve">Proceedings of the National Academy of Sciences</w:t>
      </w:r>
      <w:r>
        <w:br/>
      </w:r>
      <w:r>
        <w:t xml:space="preserve">500 Fifth Street NW</w:t>
      </w:r>
      <w:r>
        <w:br/>
      </w:r>
      <w:r>
        <w:t xml:space="preserve">Washington, DC 20001</w:t>
      </w:r>
    </w:p>
    <w:p>
      <w:pPr>
        <w:pStyle w:val="BodyText"/>
      </w:pPr>
      <w:r>
        <w:t xml:space="preserve">Dear Editors,</w:t>
      </w:r>
    </w:p>
    <w:p>
      <w:pPr>
        <w:pStyle w:val="BodyText"/>
      </w:pPr>
      <w:r>
        <w:t xml:space="preserve">I am writing to submit the manuscript entitled</w:t>
      </w:r>
      <w:r>
        <w:t xml:space="preserve"> </w:t>
      </w:r>
      <w:r>
        <w:t xml:space="preserve">“Boundary Phase Resonance: Emergent Physical Phenomena from Stabilized Phase Structures on Constrained Boundaries”</w:t>
      </w:r>
      <w:r>
        <w:t xml:space="preserve"> </w:t>
      </w:r>
      <w:r>
        <w:t xml:space="preserve">for consideration as a Direct Submission Research Report in</w:t>
      </w:r>
      <w:r>
        <w:t xml:space="preserve"> </w:t>
      </w:r>
      <w:r>
        <w:rPr>
          <w:i/>
          <w:iCs/>
        </w:rPr>
        <w:t xml:space="preserve">PNAS</w:t>
      </w:r>
      <w:r>
        <w:t xml:space="preserve"> </w:t>
      </w:r>
      <w:r>
        <w:t xml:space="preserve">(Physical Sciences / Physics).</w:t>
      </w:r>
    </w:p>
    <w:p>
      <w:pPr>
        <w:pStyle w:val="BodyText"/>
      </w:pPr>
      <w:r>
        <w:rPr>
          <w:b/>
          <w:bCs/>
        </w:rPr>
        <w:t xml:space="preserve">Summary.</w:t>
      </w:r>
      <w:r>
        <w:t xml:space="preserve"> </w:t>
      </w:r>
      <w:r>
        <w:t xml:space="preserve">The manuscript introduces Boundary Phase Resonance (BPR), a framework in which physical observables emerge as stabilized phase configurations on constrained boundaries. Starting from a discrete phase field on a</w:t>
      </w:r>
      <w:r>
        <w:t xml:space="preserve"> </w:t>
      </w:r>
      <m:oMath>
        <m:sSub>
          <m:e>
            <m:r>
              <m:rPr>
                <m:scr m:val="double-struck"/>
                <m:sty m:val="p"/>
              </m:rPr>
              <m:t>Z</m:t>
            </m:r>
          </m:e>
          <m:sub>
            <m:r>
              <m:t>p</m:t>
            </m:r>
          </m:sub>
        </m:sSub>
      </m:oMath>
      <w:r>
        <w:t xml:space="preserve"> </w:t>
      </w:r>
      <w:r>
        <w:t xml:space="preserve">lattice, we derive a boundary action via standard coarse-graining and couple it to the bulk spacetime metric. From three substrate parameters—with no additional fitting—the framework produces quantitative predictions across multiple domains of physics. The paper focuses on three concrete, falsifiable results:</w:t>
      </w:r>
    </w:p>
    <w:p>
      <w:pPr>
        <w:numPr>
          <w:ilvl w:val="0"/>
          <w:numId w:val="1001"/>
        </w:numPr>
      </w:pPr>
      <w:r>
        <w:t xml:space="preserve">A correction to the Casimir force with a specific fractal scaling exponent (</w:t>
      </w:r>
      <m:oMath>
        <m:r>
          <m:t>δ</m:t>
        </m:r>
        <m:r>
          <m:rPr>
            <m:sty m:val="p"/>
          </m:rPr>
          <m:t>=</m:t>
        </m:r>
        <m:r>
          <m:t>1.37</m:t>
        </m:r>
        <m:r>
          <m:rPr>
            <m:sty m:val="p"/>
          </m:rPr>
          <m:t>±</m:t>
        </m:r>
        <m:r>
          <m:t>0.05</m:t>
        </m:r>
      </m:oMath>
      <w:r>
        <w:t xml:space="preserve">), testable with current MEMS technology and the Delft superconducting Casimir platform.</w:t>
      </w:r>
    </w:p>
    <w:p>
      <w:pPr>
        <w:numPr>
          <w:ilvl w:val="0"/>
          <w:numId w:val="1001"/>
        </w:numPr>
      </w:pPr>
      <w:r>
        <w:t xml:space="preserve">A decoherence rate formula exhibiting quadratic impedance-mismatch scaling (</w:t>
      </w:r>
      <m:oMath>
        <m:r>
          <m:rPr>
            <m:sty m:val="p"/>
          </m:rPr>
          <m:t>Γ</m:t>
        </m:r>
        <m:r>
          <m:rPr>
            <m:sty m:val="p"/>
          </m:rPr>
          <m:t>∝</m:t>
        </m:r>
        <m:r>
          <m:rPr>
            <m:sty m:val="p"/>
          </m:rPr>
          <m:t>(</m:t>
        </m:r>
        <m:r>
          <m:rPr>
            <m:sty m:val="p"/>
          </m:rPr>
          <m:t>Δ</m:t>
        </m:r>
        <m:r>
          <m:t>Z</m:t>
        </m:r>
        <m:sSup>
          <m:e>
            <m:r>
              <m:rPr>
                <m:sty m:val="p"/>
              </m:rPr>
              <m:t>)</m:t>
            </m:r>
          </m:e>
          <m:sup>
            <m:r>
              <m:t>2</m:t>
            </m:r>
          </m:sup>
        </m:sSup>
      </m:oMath>
      <w:r>
        <w:t xml:space="preserve">), testable in molecule interferometry.</w:t>
      </w:r>
    </w:p>
    <w:p>
      <w:pPr>
        <w:numPr>
          <w:ilvl w:val="0"/>
          <w:numId w:val="1001"/>
        </w:numPr>
      </w:pPr>
      <w:r>
        <w:t xml:space="preserve">Neutrino mixing angles derived from boundary topology on</w:t>
      </w:r>
      <w:r>
        <w:t xml:space="preserve"> </w:t>
      </w:r>
      <m:oMath>
        <m:sSup>
          <m:e>
            <m:r>
              <m:t>S</m:t>
            </m:r>
          </m:e>
          <m:sup>
            <m:r>
              <m:t>2</m:t>
            </m:r>
          </m:sup>
        </m:sSup>
      </m:oMath>
      <w:r>
        <w:t xml:space="preserve"> </w:t>
      </w:r>
      <w:r>
        <w:t xml:space="preserve">that agree with PDG 2024 values within 0.3–1.1</w:t>
      </w:r>
      <m:oMath>
        <m:r>
          <m:t>σ</m:t>
        </m:r>
      </m:oMath>
      <w:r>
        <w:t xml:space="preserve"> </w:t>
      </w:r>
      <w:r>
        <w:t xml:space="preserve">for the three measured angles.</w:t>
      </w:r>
    </w:p>
    <w:p>
      <w:pPr>
        <w:pStyle w:val="FirstParagraph"/>
      </w:pPr>
      <w:r>
        <w:rPr>
          <w:b/>
          <w:bCs/>
        </w:rPr>
        <w:t xml:space="preserve">Significance.</w:t>
      </w:r>
      <w:r>
        <w:t xml:space="preserve"> </w:t>
      </w:r>
      <w:r>
        <w:t xml:space="preserve">Despite decades of progress, physics lacks a unified conceptual framework connecting classical mechanics, quantum mechanics, and condensed matter. BPR addresses this by identifying boundary-constrained phase structures as a common origin for diverse phenomena. The framework is not purely conceptual: it generates 205 falsifiable predictions, of which 50 have been benchmarked against published data (80% within 2</w:t>
      </w:r>
      <m:oMath>
        <m:r>
          <m:t>σ</m:t>
        </m:r>
      </m:oMath>
      <w:r>
        <w:t xml:space="preserve">). All derivations are implemented as open-source, auditable software with 488 automated tests.</w:t>
      </w:r>
    </w:p>
    <w:p>
      <w:pPr>
        <w:pStyle w:val="BodyText"/>
      </w:pPr>
      <w:r>
        <w:rPr>
          <w:b/>
          <w:bCs/>
        </w:rPr>
        <w:t xml:space="preserve">Why PNAS.</w:t>
      </w:r>
      <w:r>
        <w:t xml:space="preserve"> </w:t>
      </w:r>
      <w:r>
        <w:t xml:space="preserve">This work spans multiple subdisciplines (quantum foundations, condensed matter, particle physics, cosmology) and is best suited for a broad-audience journal. The concrete experimental predictions—particularly the Casimir force correction accessible to existing platforms and the neutrino mass ordering testable by JUNO—give the framework immediate empirical relevance. PNAS’s readership across the physical sciences is well positioned to evaluate and act on these cross-cutting predictions.</w:t>
      </w:r>
    </w:p>
    <w:p>
      <w:pPr>
        <w:pStyle w:val="BodyText"/>
      </w:pPr>
      <w:r>
        <w:rPr>
          <w:b/>
          <w:bCs/>
        </w:rPr>
        <w:t xml:space="preserve">Suggested reviewers.</w:t>
      </w:r>
      <w:r>
        <w:t xml:space="preserve"> </w:t>
      </w:r>
      <w:r>
        <w:t xml:space="preserve">I suggest the following reviewers who have expertise in the relevant experimental and theoretical areas:</w:t>
      </w:r>
    </w:p>
    <w:p>
      <w:pPr>
        <w:numPr>
          <w:ilvl w:val="0"/>
          <w:numId w:val="1002"/>
        </w:numPr>
      </w:pPr>
      <w:r>
        <w:rPr>
          <w:b/>
          <w:bCs/>
        </w:rPr>
        <w:t xml:space="preserve">Prof. Ricardo Decca</w:t>
      </w:r>
      <w:r>
        <w:t xml:space="preserve"> </w:t>
      </w:r>
      <w:r>
        <w:t xml:space="preserve">(Indiana University–Purdue University Indianapolis) — precision Casimir force measurements.</w:t>
      </w:r>
    </w:p>
    <w:p>
      <w:pPr>
        <w:numPr>
          <w:ilvl w:val="0"/>
          <w:numId w:val="1002"/>
        </w:numPr>
      </w:pPr>
      <w:r>
        <w:rPr>
          <w:b/>
          <w:bCs/>
        </w:rPr>
        <w:t xml:space="preserve">Prof. Markus Arndt</w:t>
      </w:r>
      <w:r>
        <w:t xml:space="preserve"> </w:t>
      </w:r>
      <w:r>
        <w:t xml:space="preserve">(University of Vienna) — molecule interferometry and decoherence.</w:t>
      </w:r>
    </w:p>
    <w:p>
      <w:pPr>
        <w:numPr>
          <w:ilvl w:val="0"/>
          <w:numId w:val="1002"/>
        </w:numPr>
      </w:pPr>
      <w:r>
        <w:rPr>
          <w:b/>
          <w:bCs/>
        </w:rPr>
        <w:t xml:space="preserve">Prof. Maury Goodman or Dr. Pedro Machado</w:t>
      </w:r>
      <w:r>
        <w:t xml:space="preserve"> </w:t>
      </w:r>
      <w:r>
        <w:t xml:space="preserve">(Argonne National Laboratory / Fermilab) — neutrino oscillation phenomenology.</w:t>
      </w:r>
    </w:p>
    <w:p>
      <w:pPr>
        <w:pStyle w:val="FirstParagraph"/>
      </w:pPr>
      <w:r>
        <w:rPr>
          <w:b/>
          <w:bCs/>
        </w:rPr>
        <w:t xml:space="preserve">Exclusions.</w:t>
      </w:r>
      <w:r>
        <w:t xml:space="preserve"> </w:t>
      </w:r>
      <w:r>
        <w:t xml:space="preserve">I request no reviewer exclusions.</w:t>
      </w:r>
    </w:p>
    <w:p>
      <w:pPr>
        <w:pStyle w:val="BodyText"/>
      </w:pPr>
      <w:r>
        <w:rPr>
          <w:b/>
          <w:bCs/>
        </w:rPr>
        <w:t xml:space="preserve">Competing interests.</w:t>
      </w:r>
      <w:r>
        <w:t xml:space="preserve"> </w:t>
      </w:r>
      <w:r>
        <w:t xml:space="preserve">The author declares no competing financial or non-financial interests.</w:t>
      </w:r>
    </w:p>
    <w:p>
      <w:pPr>
        <w:pStyle w:val="BodyText"/>
      </w:pPr>
      <w:r>
        <w:t xml:space="preserve">The manuscript has not been submitted elsewhere and is not under consideration at any other journal. I confirm that all authors (sole author) have approved the manuscript for submission.</w:t>
      </w:r>
    </w:p>
    <w:p>
      <w:pPr>
        <w:pStyle w:val="BodyText"/>
      </w:pPr>
      <w:r>
        <w:t xml:space="preserve">Sincerely,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Jack Al-Kahwati StarDrive Research Group jack@thestardrive.com</dc:creator>
  <cp:keywords/>
  <dcterms:created xsi:type="dcterms:W3CDTF">2026-02-10T01:16:10Z</dcterms:created>
  <dcterms:modified xsi:type="dcterms:W3CDTF">2026-02-10T01:16:10Z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StarDrive Research Group San Francisco, CA jack@thestardrive.com</vt:lpwstr>
  </property>
</Properties>
</file>