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Boundary Phase Resonance: A Discrete Lattice Origin for the Standard Model Spectrum</w:t>
      </w:r>
    </w:p>
    <w:p>
      <w:pPr>
        <w:pStyle w:val="Author"/>
      </w:pPr>
      <w:r>
        <w:t xml:space="preserve">Jack Al-Kahwati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Modern physics lacks a unified mathematical framework connecting its empirically successful but ontologically incompatible theories. The holographic principle </w:t>
      </w:r>
      <w:r>
        <w:t xml:space="preserve"> </w:t>
      </w:r>
      <w:r>
        <w:t xml:space="preserve">demonstrates that bulk physics can be encoded on lower-dimensional boundaries. Topological phases of matter show that boundary conditions, rather than local energetics, determine physical properties </w:t>
      </w:r>
      <w:r>
        <w:t xml:space="preserve">. Decoherence theory </w:t>
      </w:r>
      <w:r>
        <w:t xml:space="preserve"> </w:t>
      </w:r>
      <w:r>
        <w:t xml:space="preserve">reveals the quantum-classical transition as a structural property of system-environment coupling. These developments suggest that boundaries play a more fundamental role in physics than traditionally assumed.</w:t>
      </w:r>
    </w:p>
    <w:p>
      <w:pPr>
        <w:pStyle w:val="BodyText"/>
      </w:pPr>
      <w:r>
        <w:t xml:space="preserve">We introduce Boundary Phase Resonance (BPR), built on a single hypothesis: physical observables correspond to stabilized phase configurations on constrained boundaries. Starting from a discrete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lattice Hamiltonian, we derive a continuum boundary action via standard coarse-graining </w:t>
      </w:r>
      <w:r>
        <w:t xml:space="preserve">, couple it to bulk geometry, and show that the resulting framework produces quantitative predictions across particle physics, cosmology, and quantum foundations.</w:t>
      </w:r>
    </w:p>
    <w:bookmarkEnd w:id="9"/>
    <w:bookmarkStart w:id="12" w:name="framework"/>
    <w:p>
      <w:pPr>
        <w:pStyle w:val="Heading1"/>
      </w:pPr>
      <w:r>
        <w:t xml:space="preserve">Framework</w:t>
      </w:r>
    </w:p>
    <w:bookmarkStart w:id="10" w:name="from-lattice-to-boundary-action."/>
    <w:p>
      <w:pPr>
        <w:pStyle w:val="Heading2"/>
      </w:pPr>
      <w:r>
        <w:t xml:space="preserve">From Lattice to Boundary Action.</w:t>
      </w:r>
    </w:p>
    <w:p>
      <w:pPr>
        <w:pStyle w:val="FirstParagraph"/>
      </w:pPr>
      <w:r>
        <w:t xml:space="preserve">A discrete phase field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sites with nearest-neighbor coupling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Hamiltonian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J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⟨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⟩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p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Coarse-graining over the lattice spacing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ad>
          <m:radPr>
            <m:degHide m:val="on"/>
          </m:radPr>
          <m:deg/>
          <m:e>
            <m:r>
              <m:t>4</m:t>
            </m:r>
            <m:r>
              <m:t>π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yields the continuum boundary action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κ</m:t>
              </m:r>
            </m:den>
          </m:f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Σ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nary>
          <m:r>
            <m:t>x</m:t>
          </m:r>
          <m:r>
            <m:t> 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|</m:t>
              </m:r>
              <m:r>
                <m:t>h</m:t>
              </m:r>
              <m:r>
                <m:rPr>
                  <m:sty m:val="p"/>
                </m:rPr>
                <m:t>|</m:t>
              </m:r>
            </m:e>
          </m:rad>
          <m:r>
            <m:t> </m:t>
          </m:r>
          <m:sSup>
            <m:e>
              <m:r>
                <m:t>h</m:t>
              </m:r>
            </m:e>
            <m:sup>
              <m:r>
                <m:t>a</m:t>
              </m:r>
              <m:r>
                <m:t>b</m:t>
              </m:r>
            </m:sup>
          </m:sSup>
          <m:sSub>
            <m:e>
              <m:r>
                <m:rPr>
                  <m:sty m:val="p"/>
                </m:rPr>
                <m:t>∇</m:t>
              </m:r>
            </m:e>
            <m:sub>
              <m:r>
                <m:t>a</m:t>
              </m:r>
            </m:sub>
          </m:sSub>
          <m:r>
            <m:t>φ</m:t>
          </m:r>
          <m:r>
            <m:t> 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b</m:t>
              </m:r>
            </m:sub>
          </m:sSub>
          <m:r>
            <m:t>φ</m:t>
          </m:r>
          <m:r>
            <m:t> 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the boundary rigidity (determined by the coordination number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r>
          <m:t>a</m:t>
        </m:r>
        <m:rad>
          <m:radPr>
            <m:degHide m:val="on"/>
          </m:radPr>
          <m:deg/>
          <m:e>
            <m:r>
              <m:rPr>
                <m:sty m:val="p"/>
              </m:rPr>
              <m:t>ln</m:t>
            </m:r>
            <m:r>
              <m:t>p</m:t>
            </m:r>
          </m:e>
        </m:rad>
      </m:oMath>
      <w:r>
        <w:t xml:space="preserve"> </w:t>
      </w:r>
      <w:r>
        <w:t xml:space="preserve">is the correlation length, and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κ</m:t>
        </m:r>
        <m:r>
          <m:t>J</m:t>
        </m:r>
      </m:oMath>
      <w:r>
        <w:t xml:space="preserve"> </w:t>
      </w:r>
      <w:r>
        <w:t xml:space="preserve">is the dimensional rigidity. For the default substrate (</w:t>
      </w:r>
      <m:oMath>
        <m:r>
          <m:t>p</m:t>
        </m:r>
        <m:r>
          <m:rPr>
            <m:sty m:val="p"/>
          </m:rPr>
          <m:t>=</m:t>
        </m:r>
        <m:r>
          <m:t>104</m:t>
        </m:r>
        <m:r>
          <m:rPr>
            <m:sty m:val="p"/>
          </m:rPr>
          <m:t>,</m:t>
        </m:r>
        <m:r>
          <m:t>729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1" w:name="boundary-bulk-coupling."/>
    <w:p>
      <w:pPr>
        <w:pStyle w:val="Heading2"/>
      </w:pPr>
      <w:r>
        <w:t xml:space="preserve">Boundary-Bulk Coupling.</w:t>
      </w:r>
    </w:p>
    <w:p>
      <w:pPr>
        <w:pStyle w:val="FirstParagraph"/>
      </w:pPr>
      <w:r>
        <w:t xml:space="preserve">The boundary field couples to the bulk metric through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λ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D</m:t>
                  </m:r>
                </m:sup>
              </m:sSup>
            </m:e>
          </m:nary>
          <m:r>
            <m:t>x</m:t>
          </m:r>
          <m:r>
            <m:t> 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|</m:t>
              </m:r>
            </m:e>
          </m:rad>
          <m:r>
            <m:t> </m:t>
          </m:r>
          <m:sSup>
            <m:e>
              <m:r>
                <m:t>P</m:t>
              </m:r>
            </m:e>
            <m:sup>
              <m:r>
                <m:t>a</m:t>
              </m:r>
              <m:r>
                <m:t>b</m:t>
              </m:r>
            </m:sup>
          </m:sSup>
          <m:sSub>
            <m:e>
              <m:r>
                <m:t>​</m:t>
              </m:r>
            </m:e>
            <m:sub>
              <m:r>
                <m:t>μ</m:t>
              </m:r>
              <m:r>
                <m:t>ν</m:t>
              </m:r>
            </m:sub>
          </m:sSub>
          <m:r>
            <m:t> 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a</m:t>
              </m:r>
            </m:sub>
          </m:sSub>
          <m:r>
            <m:t>φ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b</m:t>
              </m:r>
            </m:sub>
          </m:sSub>
          <m:r>
            <m:t>φ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g</m:t>
              </m:r>
            </m:e>
            <m:sup>
              <m:r>
                <m:t>μ</m:t>
              </m:r>
              <m:r>
                <m:t>ν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P</m:t>
            </m:r>
          </m:e>
          <m:sup>
            <m:r>
              <m:t>a</m:t>
            </m:r>
            <m:r>
              <m:t>b</m:t>
            </m:r>
          </m:sup>
        </m:sSup>
        <m:sSub>
          <m:e>
            <m:r>
              <m:t>​</m:t>
            </m:r>
          </m:e>
          <m:sub>
            <m:r>
              <m:t>μ</m:t>
            </m:r>
            <m:r>
              <m:t>ν</m:t>
            </m:r>
          </m:sub>
        </m:sSub>
        <m:r>
          <m:rPr>
            <m:sty m:val="p"/>
          </m:rPr>
          <m:t>=</m:t>
        </m:r>
        <m:sSup>
          <m:e>
            <m:r>
              <m:t>h</m:t>
            </m:r>
          </m:e>
          <m:sup>
            <m:r>
              <m:t>a</m:t>
            </m:r>
            <m:r>
              <m:t>b</m:t>
            </m:r>
          </m:sup>
        </m:sSup>
        <m:sSub>
          <m:e>
            <m:r>
              <m:t>n</m:t>
            </m:r>
          </m:e>
          <m:sub>
            <m:r>
              <m:t>μ</m:t>
            </m:r>
          </m:sub>
        </m:sSub>
        <m:sSub>
          <m:e>
            <m:r>
              <m:t>n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Sup>
          <m:e>
            <m:r>
              <m:t>ℓ</m:t>
            </m:r>
          </m:e>
          <m:sub>
            <m:r>
              <m:t>P</m:t>
            </m:r>
          </m:sub>
          <m:sup>
            <m:r>
              <m:t>2</m:t>
            </m:r>
          </m:sup>
        </m:sSubSup>
        <m:sSub>
          <m:e>
            <m:r>
              <m:t>κ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t>π</m:t>
        </m:r>
        <m:r>
          <m:rPr>
            <m:sty m:val="p"/>
          </m:rPr>
          <m:t>)</m:t>
        </m:r>
      </m:oMath>
      <w:r>
        <w:t xml:space="preserve">. This modifies Einstein’s equation: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μ</m:t>
              </m:r>
              <m:r>
                <m:t>ν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Λ</m:t>
          </m:r>
          <m:sSub>
            <m:e>
              <m:r>
                <m:t>g</m:t>
              </m:r>
            </m:e>
            <m:sub>
              <m:r>
                <m:t>μ</m:t>
              </m:r>
              <m:r>
                <m:t>ν</m:t>
              </m:r>
            </m:sub>
          </m:sSub>
          <m:r>
            <m:rPr>
              <m:sty m:val="p"/>
            </m:rPr>
            <m:t>=</m:t>
          </m:r>
          <m:r>
            <m:t>8</m:t>
          </m:r>
          <m:r>
            <m:t>π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T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  <m:sup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M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T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  <m:sup>
                  <m:r>
                    <m:t>φ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∇</m:t>
            </m:r>
          </m:e>
          <m:sup>
            <m:r>
              <m:t>μ</m:t>
            </m:r>
          </m:sup>
        </m:sSup>
        <m:sSubSup>
          <m:e>
            <m:r>
              <m:t>T</m:t>
            </m:r>
          </m:e>
          <m:sub>
            <m:r>
              <m:t>μ</m:t>
            </m:r>
            <m:r>
              <m:t>ν</m:t>
            </m:r>
          </m:sub>
          <m:sup>
            <m:r>
              <m:t>φ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verified numerically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 The boundary field equation is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t> </m:t>
          </m:r>
          <m:sSubSup>
            <m:e>
              <m:r>
                <m:rPr>
                  <m:sty m:val="p"/>
                </m:rPr>
                <m:t>∇</m:t>
              </m:r>
            </m:e>
            <m:sub>
              <m:r>
                <m:rPr>
                  <m:sty m:val="p"/>
                </m:rPr>
                <m:t>Σ</m:t>
              </m:r>
            </m:sub>
            <m:sup>
              <m:r>
                <m:t>2</m:t>
              </m:r>
            </m:sup>
          </m:sSubSup>
          <m:r>
            <m:t>φ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∂</m:t>
              </m:r>
            </m:e>
            <m:sub>
              <m:r>
                <m:t>φ</m:t>
              </m:r>
            </m:sub>
          </m:sSub>
          <m:r>
            <m:t>V</m:t>
          </m:r>
          <m:r>
            <m:rPr>
              <m:sty m:val="p"/>
            </m:rPr>
            <m:t>+</m:t>
          </m:r>
          <m:r>
            <m:t>λ</m:t>
          </m:r>
          <m:r>
            <m:t> </m:t>
          </m:r>
          <m:sSup>
            <m:e>
              <m:r>
                <m:t>n</m:t>
              </m:r>
            </m:e>
            <m:sup>
              <m:r>
                <m:t>μ</m:t>
              </m:r>
            </m:sup>
          </m:sSup>
          <m:sSup>
            <m:e>
              <m:r>
                <m:t>n</m:t>
              </m:r>
            </m:e>
            <m:sup>
              <m:r>
                <m:t>ν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μ</m:t>
                  </m:r>
                </m:sub>
              </m:sSub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ν</m:t>
                  </m:r>
                </m:sub>
              </m:sSub>
              <m:r>
                <m:t>φ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  <m:sup>
                  <m:r>
                    <m:t>ρ</m:t>
                  </m:r>
                </m:sup>
              </m:sSubSup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ρ</m:t>
                  </m:r>
                </m:sub>
              </m:sSub>
              <m:r>
                <m:t>φ</m:t>
              </m:r>
            </m:e>
          </m:d>
          <m:r>
            <m:rPr>
              <m:sty m:val="p"/>
            </m:rPr>
            <m:t>.</m:t>
          </m:r>
        </m:oMath>
      </m:oMathPara>
    </w:p>
    <w:bookmarkEnd w:id="11"/>
    <w:bookmarkEnd w:id="12"/>
    <w:bookmarkStart w:id="20" w:name="results"/>
    <w:p>
      <w:pPr>
        <w:pStyle w:val="Heading1"/>
      </w:pPr>
      <w:r>
        <w:t xml:space="preserve">Results</w:t>
      </w:r>
    </w:p>
    <w:bookmarkStart w:id="13" w:name="i.-higgs-boson-mass."/>
    <w:p>
      <w:pPr>
        <w:pStyle w:val="Heading2"/>
      </w:pPr>
      <w:r>
        <w:t xml:space="preserve">I. Higgs Boson Mass.</w:t>
      </w:r>
    </w:p>
    <w:p>
      <w:pPr>
        <w:pStyle w:val="FirstParagraph"/>
      </w:pPr>
      <w:r>
        <w:t xml:space="preserve">The Higgs quartic coupling is set by the ratio of boundary coordination to active boundary modes: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cos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W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≈</m:t>
        </m:r>
        <m:r>
          <m:t>47</m:t>
        </m:r>
      </m:oMath>
      <w:r>
        <w:t xml:space="preserve"> </w:t>
      </w:r>
      <w:r>
        <w:t xml:space="preserve">boundary modes between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G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each contribute to the Higgs effective potential,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coupling coherently per vertex. The</w:t>
      </w:r>
      <w:r>
        <w:t xml:space="preserve"> </w:t>
      </w:r>
      <m:oMath>
        <m:r>
          <m:rPr>
            <m:sty m:val="p"/>
          </m:rPr>
          <m:t>cos</m:t>
        </m:r>
        <m:r>
          <m:t>2</m:t>
        </m:r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factor arises because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t>2</m:t>
        </m:r>
        <m:sSub>
          <m:e>
            <m:r>
              <m:rPr>
                <m:sty m:val="p"/>
              </m:rPr>
              <m:t>)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(</m:t>
        </m:r>
        <m:r>
          <m:t>1</m:t>
        </m:r>
        <m:sSub>
          <m:e>
            <m:r>
              <m:rPr>
                <m:sty m:val="p"/>
              </m:rPr>
              <m:t>)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α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with opposite sign;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absorbed by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γ</m:t>
        </m:r>
      </m:oMath>
      <w:r>
        <w:t xml:space="preserve"> </w:t>
      </w:r>
      <w:r>
        <w:t xml:space="preserve">mixing normalization (SI Appendix, Section 7). This yields</w:t>
      </w:r>
      <w:r>
        <w:t xml:space="preserve"> </w:t>
      </w:r>
      <m:oMath>
        <m:sSub>
          <m:e>
            <m:r>
              <m:t>λ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0.1296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v</m:t>
          </m:r>
          <m:rad>
            <m:radPr>
              <m:degHide m:val="on"/>
            </m:radPr>
            <m:deg/>
            <m:e>
              <m:r>
                <m:t>2</m:t>
              </m:r>
              <m:sSub>
                <m:e>
                  <m:r>
                    <m:t>λ</m:t>
                  </m:r>
                </m:e>
                <m:sub>
                  <m:r>
                    <m:t>H</m:t>
                  </m:r>
                </m:sub>
              </m:sSub>
            </m:e>
          </m:rad>
          <m:r>
            <m:rPr>
              <m:sty m:val="p"/>
            </m:rPr>
            <m:t>=</m:t>
          </m:r>
          <m:r>
            <m:t>125.2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D</m:t>
          </m:r>
          <m:r>
            <m:rPr>
              <m:sty m:val="p"/>
            </m:rPr>
            <m:t>G</m:t>
          </m:r>
          <m:r>
            <m:rPr>
              <m:sty m:val="p"/>
            </m:rPr>
            <m:t>:</m:t>
          </m:r>
          <m:r>
            <m:t> </m:t>
          </m:r>
          <m:r>
            <m:t>125.25</m:t>
          </m:r>
          <m:r>
            <m:rPr>
              <m:sty m:val="p"/>
            </m:rPr>
            <m:t>±</m:t>
          </m:r>
          <m:r>
            <m:t>0.17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ii.-quark-mass-spectrum."/>
    <w:p>
      <w:pPr>
        <w:pStyle w:val="Heading2"/>
      </w:pPr>
      <w:r>
        <w:t xml:space="preserve">II. Quark Mass Spectrum.</w:t>
      </w:r>
    </w:p>
    <w:p>
      <w:pPr>
        <w:pStyle w:val="FirstParagraph"/>
      </w:pPr>
      <w:r>
        <w:t xml:space="preserve">Up-type quarks have masses proportional to the scalar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eigenvalues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,</m:t>
        </m:r>
        <m:r>
          <m:t>283</m:t>
        </m:r>
        <m:r>
          <m:rPr>
            <m:sty m:val="p"/>
          </m:rPr>
          <m:t>)</m:t>
        </m:r>
      </m:oMath>
      <w:r>
        <w:t xml:space="preserve"> </w:t>
      </w:r>
      <w:r>
        <w:t xml:space="preserve">anchored to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283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2.16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m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576</m:t>
              </m:r>
            </m:num>
            <m:den>
              <m:sSup>
                <m:e>
                  <m:r>
                    <m:t>283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1242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Down-type quarks see a</w:t>
      </w:r>
      <w:r>
        <w:t xml:space="preserve"> </w:t>
      </w:r>
      <w:r>
        <w:rPr>
          <w:i/>
          <w:iCs/>
        </w:rPr>
        <w:t xml:space="preserve">winding-shifted</w:t>
      </w:r>
      <w:r>
        <w:t xml:space="preserve"> </w:t>
      </w:r>
      <w:r>
        <w:t xml:space="preserve">spectrum, because the Higgs doublet’s lower component carries winding charge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t xml:space="preserve">in the isospin sector: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)</m:t>
        </m:r>
      </m:oMath>
      <w:r>
        <w:t xml:space="preserve"> </w:t>
      </w:r>
      <w:r>
        <w:t xml:space="preserve">anchored to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(2 inputs for 1 prediction):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93.5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D</m:t>
          </m:r>
          <m:r>
            <m:rPr>
              <m:sty m:val="p"/>
            </m:rPr>
            <m:t>G</m:t>
          </m:r>
          <m:r>
            <m:rPr>
              <m:sty m:val="p"/>
            </m:rPr>
            <m:t>:</m:t>
          </m:r>
          <m:r>
            <m:t> </m:t>
          </m:r>
          <m:r>
            <m:t>93.4</m:t>
          </m:r>
          <m:r>
            <m:rPr>
              <m:sty m:val="p"/>
            </m:rPr>
            <m:t>±</m:t>
          </m:r>
          <m:r>
            <m:t>8.6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/</m:t>
          </m:r>
          <m:sSub>
            <m:e>
              <m:r>
                <m:t>m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t>20.0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r>
            <m:rPr>
              <m:sty m:val="p"/>
            </m:rPr>
            <m:t>:</m:t>
          </m:r>
          <m:r>
            <m:t> </m:t>
          </m:r>
          <m:r>
            <m:t>20.0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ratio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d</m:t>
            </m:r>
          </m:sub>
        </m:sSub>
      </m:oMath>
      <w:r>
        <w:t xml:space="preserve">, unexplained in the Standard Model, is resolved by the winding shift.</w:t>
      </w:r>
    </w:p>
    <w:bookmarkEnd w:id="14"/>
    <w:bookmarkStart w:id="16" w:name="iii.-neutrino-sector."/>
    <w:p>
      <w:pPr>
        <w:pStyle w:val="Heading2"/>
      </w:pPr>
      <w:r>
        <w:t xml:space="preserve">III. Neutrino Sector.</w:t>
      </w:r>
    </w:p>
    <w:p>
      <w:pPr>
        <w:pStyle w:val="FirstParagraph"/>
      </w:pPr>
      <w:r>
        <w:t xml:space="preserve">Neutrino masses arise from the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spectrum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 giving normal ordering (</w:t>
      </w:r>
      <m:oMath>
        <m:r>
          <m:t>p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implies orientable boundary, hence Dirac neutrinos). The solar splitting</w:t>
      </w:r>
      <w:r>
        <w:t xml:space="preserve"> </w:t>
      </w:r>
      <m:oMath>
        <m:r>
          <m:rPr>
            <m:sty m:val="p"/>
          </m:rPr>
          <m:t>Δ</m:t>
        </m:r>
        <m:sSubSup>
          <m:e>
            <m:r>
              <m:t>m</m:t>
            </m:r>
          </m:e>
          <m:sub>
            <m:r>
              <m:t>21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receives a boundary curvature correction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sSub>
          <m:e>
            <m:r>
              <m:t>θ</m:t>
            </m:r>
          </m:e>
          <m:sub>
            <m:r>
              <m:t>23</m:t>
            </m:r>
          </m:sub>
        </m:sSub>
        <m:r>
          <m:t> </m:t>
        </m:r>
        <m:r>
          <m:rPr>
            <m:sty m:val="p"/>
          </m:rPr>
          <m:t>Δ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Δ</m:t>
        </m:r>
        <m:sSub>
          <m:e>
            <m:r>
              <m:t>c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sub>
        </m:sSub>
      </m:oMath>
      <w:r>
        <w:t xml:space="preserve">; the atmospheric angle</w:t>
      </w:r>
      <w:r>
        <w:t xml:space="preserve"> </w:t>
      </w:r>
      <m:oMath>
        <m:sSub>
          <m:e>
            <m:r>
              <m:t>θ</m:t>
            </m:r>
          </m:e>
          <m:sub>
            <m:r>
              <m:t>23</m:t>
            </m:r>
          </m:sub>
        </m:sSub>
      </m:oMath>
      <w:r>
        <w:t xml:space="preserve"> </w:t>
      </w:r>
      <w:r>
        <w:t xml:space="preserve">receives a charged-lepton rotation correction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sSub>
          <m:e>
            <m:r>
              <m:t>θ</m:t>
            </m:r>
          </m:e>
          <m:sub>
            <m:r>
              <m:t>23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μ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τ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sin</m:t>
        </m:r>
        <m:r>
          <m:t>2</m:t>
        </m:r>
        <m:sSub>
          <m:e>
            <m:r>
              <m:t>θ</m:t>
            </m:r>
          </m:e>
          <m:sub>
            <m:r>
              <m:t>23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15" w:name="tab:nu"/>
    <w:p>
      <w:pPr>
        <w:pStyle w:val="TableCaption"/>
      </w:pPr>
      <w:r>
        <w:t xml:space="preserve">Neutrino predictions vs. PDG 2024 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eutrino predictions vs. PDG 2024 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BPR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PDG 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13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8.63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8.54</m:t>
              </m:r>
              <m:r>
                <m:rPr>
                  <m:sty m:val="p"/>
                </m:rPr>
                <m:t>±</m:t>
              </m:r>
              <m:sSup>
                <m:e>
                  <m:r>
                    <m:t>0.15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</m:t>
              </m:r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12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33.65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33.41</m:t>
              </m:r>
              <m:r>
                <m:rPr>
                  <m:sty m:val="p"/>
                </m:rPr>
                <m:t>±</m:t>
              </m:r>
              <m:sSup>
                <m:e>
                  <m:r>
                    <m:t>0.8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23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49.3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  <m:r>
                <m:t>49</m:t>
              </m:r>
              <m:r>
                <m:rPr>
                  <m:sty m:val="p"/>
                </m:rPr>
                <m:t>±</m:t>
              </m:r>
              <m:sSup>
                <m:e>
                  <m:r>
                    <m:t>1.3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sSubSup>
                <m:e>
                  <m:r>
                    <m:t>m</m:t>
                  </m:r>
                </m:e>
                <m:sub>
                  <m:r>
                    <m:t>21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7.48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7.53</m:t>
              </m:r>
              <m:r>
                <m:rPr>
                  <m:sty m:val="p"/>
                </m:rPr>
                <m:t>±</m:t>
              </m:r>
              <m:r>
                <m:t>0.18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m</m:t>
                  </m:r>
                </m:e>
                <m:sub>
                  <m:r>
                    <m:t>32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2.40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2.453</m:t>
              </m:r>
              <m:r>
                <m:rPr>
                  <m:sty m:val="p"/>
                </m:rPr>
                <m:t>±</m:t>
              </m:r>
              <m:r>
                <m:t>0.033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1.6</m:t>
              </m:r>
              <m:r>
                <m:t>σ</m:t>
              </m:r>
            </m:oMath>
          </w:p>
        </w:tc>
      </w:tr>
    </w:tbl>
    <w:bookmarkEnd w:id="15"/>
    <w:bookmarkEnd w:id="16"/>
    <w:bookmarkStart w:id="17" w:name="iv.-cosmology."/>
    <w:p>
      <w:pPr>
        <w:pStyle w:val="Heading2"/>
      </w:pPr>
      <w:r>
        <w:t xml:space="preserve">IV. Cosmology.</w:t>
      </w:r>
    </w:p>
    <w:p>
      <w:pPr>
        <w:pStyle w:val="FirstParagraph"/>
      </w:pPr>
      <w:r>
        <w:t xml:space="preserve">The dark matter relic density is computed via thermal freeze-out with three BPR enhancements: boundary collective mode exchange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z</m:t>
        </m:r>
        <m:r>
          <m:t> </m:t>
        </m:r>
        <m:sSub>
          <m:e>
            <m:r>
              <m:t>v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sub>
        </m:sSub>
        <m:r>
          <m:t> </m:t>
        </m:r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coherent channels), co-annihilation with adjacent winding sectors, and Sommerfeld enhancement. Result:</w:t>
      </w:r>
      <w:r>
        <w:t xml:space="preserve"> </w:t>
      </w:r>
      <m:oMath>
        <m:sSub>
          <m:e>
            <m:r>
              <m:rPr>
                <m:sty m:val="p"/>
              </m:rPr>
              <m:t>Ω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sub>
        </m:sSub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0.11</m:t>
        </m:r>
      </m:oMath>
      <w:r>
        <w:t xml:space="preserve"> </w:t>
      </w:r>
      <w:r>
        <w:t xml:space="preserve">(Planck:</w:t>
      </w:r>
      <w:r>
        <w:t xml:space="preserve"> </w:t>
      </w:r>
      <m:oMath>
        <m:r>
          <m:t>0.120</m:t>
        </m:r>
        <m:r>
          <m:rPr>
            <m:sty m:val="p"/>
          </m:rPr>
          <m:t>±</m:t>
        </m:r>
        <m:r>
          <m:t>0.001</m:t>
        </m:r>
      </m:oMath>
      <w:r>
        <w:t xml:space="preserve">). The baryon asymmetry uses a boundary-enhanced sphaleron rate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t>κ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exp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⋅</m:t>
        </m:r>
        <m:r>
          <m:t>4</m:t>
        </m:r>
        <m:r>
          <m:t>π</m:t>
        </m:r>
        <m:sSub>
          <m:e>
            <m:r>
              <m:t>α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, giving</w:t>
      </w:r>
      <w:r>
        <w:t xml:space="preserve"> </w:t>
      </w:r>
      <m:oMath>
        <m:sSub>
          <m:e>
            <m:r>
              <m:t>η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(Planck:</w:t>
      </w:r>
      <w:r>
        <w:t xml:space="preserve"> </w:t>
      </w:r>
      <m:oMath>
        <m:r>
          <m:t>6.14</m:t>
        </m:r>
        <m:r>
          <m:rPr>
            <m:sty m:val="p"/>
          </m:rPr>
          <m:t>±</m:t>
        </m:r>
        <m:r>
          <m:t>0.19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</w:t>
      </w:r>
      <w:r>
        <w:t xml:space="preserve"> </w:t>
      </w:r>
      <m:oMath>
        <m:r>
          <m:t>0.4</m:t>
        </m:r>
        <m:r>
          <m:t>σ</m:t>
        </m:r>
      </m:oMath>
      <w:r>
        <w:t xml:space="preserve">).</w:t>
      </w:r>
    </w:p>
    <w:bookmarkEnd w:id="17"/>
    <w:bookmarkStart w:id="18" w:name="v.-casimir-force-and-decoherence."/>
    <w:p>
      <w:pPr>
        <w:pStyle w:val="Heading2"/>
      </w:pPr>
      <w:r>
        <w:t xml:space="preserve">V. Casimir Force and Decoherence.</w:t>
      </w:r>
    </w:p>
    <w:p>
      <w:pPr>
        <w:pStyle w:val="FirstParagraph"/>
      </w:pPr>
      <w:r>
        <w:t xml:space="preserve">The boundary stress-energy tensor produces a Casimir correction: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δ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</m:t>
          </m:r>
          <m:r>
            <m:t>δ</m:t>
          </m:r>
          <m:r>
            <m:rPr>
              <m:sty m:val="p"/>
            </m:rPr>
            <m:t>=</m:t>
          </m:r>
          <m:r>
            <m:t>1.37</m:t>
          </m:r>
          <m:r>
            <m:rPr>
              <m:sty m:val="p"/>
            </m:rPr>
            <m:t>±</m:t>
          </m:r>
          <m:r>
            <m:t>0.05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computed from Riemann zeta zero spacing statistics </w:t>
      </w:r>
      <w:r>
        <w:t xml:space="preserve">. The phonon-collective channel (</w:t>
      </w:r>
      <m:oMath>
        <m:r>
          <m:t>λ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is within reach of the Delft superconducting platform </w:t>
      </w:r>
      <w:r>
        <w:t xml:space="preserve">.</w:t>
      </w:r>
    </w:p>
    <w:p>
      <w:pPr>
        <w:pStyle w:val="BodyText"/>
      </w:pPr>
      <w:r>
        <w:t xml:space="preserve">Boundary-induced decoherence obeys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rPr>
                  <m:sty m:val="p"/>
                </m:rPr>
                <m:t>ℏ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Δ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​</m:t>
              </m:r>
              <m:r>
                <m:t>2</m:t>
              </m:r>
            </m:sup>
          </m:sSup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num>
            <m:den>
              <m:sSubSup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B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t> 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key prediction being</w:t>
      </w:r>
      <w:r>
        <w:t xml:space="preserve"> </w:t>
      </w:r>
      <w:r>
        <w:rPr>
          <w:i/>
          <w:iCs/>
        </w:rPr>
        <w:t xml:space="preserve">quadratic</w:t>
      </w:r>
      <w:r>
        <w:t xml:space="preserve"> </w:t>
      </w:r>
      <w:r>
        <w:t xml:space="preserve">scaling in impedance mismatch</w:t>
      </w:r>
      <w:r>
        <w:t xml:space="preserve"> </w:t>
      </w:r>
      <m:oMath>
        <m:r>
          <m:rPr>
            <m:sty m:val="p"/>
          </m:rPr>
          <m:t>Δ</m:t>
        </m:r>
        <m:r>
          <m:t>Z</m:t>
        </m:r>
      </m:oMath>
      <w:r>
        <w:t xml:space="preserve">, testable in molecule interferometry </w:t>
      </w:r>
      <w:r>
        <w:t xml:space="preserve">.</w:t>
      </w:r>
    </w:p>
    <w:bookmarkEnd w:id="18"/>
    <w:bookmarkStart w:id="19" w:name="additional-benchmarks."/>
    <w:p>
      <w:pPr>
        <w:pStyle w:val="Heading2"/>
      </w:pPr>
      <w:r>
        <w:t xml:space="preserve">Additional Benchmarks.</w:t>
      </w:r>
    </w:p>
    <w:p>
      <w:pPr>
        <w:pStyle w:val="FirstParagraph"/>
      </w:pPr>
      <w:r>
        <w:t xml:space="preserve">Of 50 predictions benchmarked against PDG </w:t>
      </w:r>
      <w:r>
        <w:t xml:space="preserve">, Planck </w:t>
      </w:r>
      <w:r>
        <w:t xml:space="preserve">, and CODATA </w:t>
      </w:r>
      <w:r>
        <w:t xml:space="preserve">, all 50 agree within</w:t>
      </w:r>
      <w:r>
        <w:t xml:space="preserve"> </w:t>
      </w:r>
      <m:oMath>
        <m:r>
          <m:t>2</m:t>
        </m:r>
        <m:r>
          <m:t>σ</m:t>
        </m:r>
      </m:oMath>
      <w:r>
        <w:t xml:space="preserve">, including: proton mass</w:t>
      </w:r>
      <w:r>
        <w:t xml:space="preserve"> </w:t>
      </w:r>
      <m:oMath>
        <m:r>
          <m:t>0.940</m:t>
        </m:r>
      </m:oMath>
      <w:r>
        <w:t xml:space="preserve"> GeV (</w:t>
      </w:r>
      <m:oMath>
        <m:r>
          <m:t>0.1</m:t>
        </m:r>
        <m:r>
          <m:rPr>
            <m:sty m:val="p"/>
          </m:rPr>
          <m:t>%</m:t>
        </m:r>
      </m:oMath>
      <w:r>
        <w:t xml:space="preserve"> </w:t>
      </w:r>
      <w:r>
        <w:t xml:space="preserve">off); CKM Cabibbo angle</w:t>
      </w:r>
      <w:r>
        <w:t xml:space="preserve"> </w:t>
      </w:r>
      <m:oMath>
        <m:sSup>
          <m:e>
            <m:r>
              <m:t>12.92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</w:t>
      </w:r>
      <m:oMath>
        <m:r>
          <m:t>1.3</m:t>
        </m:r>
        <m:r>
          <m:t>σ</m:t>
        </m:r>
      </m:oMath>
      <w:r>
        <w:t xml:space="preserve">); Lorentz violation</w:t>
      </w:r>
      <w:r>
        <w:t xml:space="preserve"> </w:t>
      </w:r>
      <m:oMath>
        <m:r>
          <m:rPr>
            <m:sty m:val="p"/>
          </m:rPr>
          <m:t>|</m:t>
        </m:r>
        <m:r>
          <m:t>δ</m:t>
        </m:r>
        <m:r>
          <m:t>c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t xml:space="preserve">, just below the Fermi-LAT bound </w:t>
      </w:r>
      <w:r>
        <w:t xml:space="preserve">; and Born rule deviation</w:t>
      </w:r>
      <w:r>
        <w:t xml:space="preserve"> 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 </w:t>
      </w:r>
      <w:r>
        <w:t xml:space="preserve">,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</m:oMath>
      <w:r>
        <w:t xml:space="preserve"> </w:t>
      </w:r>
      <w:r>
        <w:t xml:space="preserve">below current sensitivity.</w:t>
      </w:r>
    </w:p>
    <w:bookmarkEnd w:id="19"/>
    <w:bookmarkEnd w:id="20"/>
    <w:bookmarkStart w:id="24" w:name="discussion"/>
    <w:p>
      <w:pPr>
        <w:pStyle w:val="Heading1"/>
      </w:pPr>
      <w:r>
        <w:t xml:space="preserve">Discussion</w:t>
      </w:r>
    </w:p>
    <w:bookmarkStart w:id="21" w:name="predictive-power."/>
    <w:p>
      <w:pPr>
        <w:pStyle w:val="Heading2"/>
      </w:pPr>
      <w:r>
        <w:t xml:space="preserve">Predictive Power.</w:t>
      </w:r>
    </w:p>
    <w:p>
      <w:pPr>
        <w:pStyle w:val="FirstParagraph"/>
      </w:pPr>
      <w:r>
        <w:t xml:space="preserve">BPR uses 7 inputs (3 substrate parameters plus 4 anchor masses) for 50 predictions (43 degrees of freedom). All</w:t>
      </w:r>
      <w:r>
        <w:t xml:space="preserve"> </w:t>
      </w:r>
      <m:oMath>
        <m:r>
          <m:t>l</m:t>
        </m:r>
      </m:oMath>
      <w:r>
        <w:t xml:space="preserve">-mode assignments are integers fixed by the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spectrum and cannot be continuously tuned. The winding shift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t xml:space="preserve">and Higgs quartic</w:t>
      </w:r>
      <w:r>
        <w:t xml:space="preserve"> </w:t>
      </w:r>
      <m:oMath>
        <m:sSub>
          <m:e>
            <m:r>
              <m:t>λ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W</m:t>
            </m:r>
          </m:sub>
        </m:sSub>
        <m:r>
          <m:rPr>
            <m:sty m:val="p"/>
          </m:rPr>
          <m:t>cos</m:t>
        </m:r>
        <m:r>
          <m:t>2</m:t>
        </m:r>
        <m:sSub>
          <m:e>
            <m:r>
              <m:t>θ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contain no adjustable parameters beyond those already specified.</w:t>
      </w:r>
    </w:p>
    <w:bookmarkEnd w:id="21"/>
    <w:bookmarkStart w:id="22" w:name="post-dictions-and-predictions."/>
    <w:p>
      <w:pPr>
        <w:pStyle w:val="Heading2"/>
      </w:pPr>
      <w:r>
        <w:t xml:space="preserve">Post-dictions and Predictions.</w:t>
      </w:r>
    </w:p>
    <w:p>
      <w:pPr>
        <w:pStyle w:val="FirstParagraph"/>
      </w:pPr>
      <w:r>
        <w:t xml:space="preserve">The 50 benchmarks are post-dictions against measured values. The framework additionally makes six genuine</w:t>
      </w:r>
      <w:r>
        <w:t xml:space="preserve"> </w:t>
      </w:r>
      <w:r>
        <w:rPr>
          <w:i/>
          <w:iCs/>
        </w:rPr>
        <w:t xml:space="preserve">predictions</w:t>
      </w:r>
      <w:r>
        <w:t xml:space="preserve"> </w:t>
      </w:r>
      <w:r>
        <w:t xml:space="preserve">not yet tested:</w:t>
      </w:r>
    </w:p>
    <w:p>
      <w:pPr>
        <w:pStyle w:val="BodyText"/>
      </w:pPr>
      <w:r>
        <w:rPr>
          <w:i/>
          <w:iCs/>
        </w:rPr>
        <w:t xml:space="preserve">Testable now:</w:t>
      </w:r>
      <w:r>
        <w:t xml:space="preserve"> </w:t>
      </w:r>
      <w:r>
        <w:t xml:space="preserve">(i) Normal neutrino mass ordering (JUNO,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2027); (ii) Dirac neutrinos — no neutrinoless double beta decay (LEGEND, nEXO); (iii) Born rule deviation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Testable within 5 years:</w:t>
      </w:r>
      <w:r>
        <w:t xml:space="preserve"> </w:t>
      </w:r>
      <w:r>
        <w:t xml:space="preserve">(iv) Casimir phonon-channel deviation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(v) </w:t>
      </w:r>
      <m:oMath>
        <m:r>
          <m:rPr>
            <m:sty m:val="p"/>
          </m:rPr>
          <m:t>|</m:t>
        </m:r>
        <m:r>
          <m:t>δ</m:t>
        </m:r>
        <m:r>
          <m:t>c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t xml:space="preserve"> </w:t>
      </w:r>
      <w:r>
        <w:t xml:space="preserve">(CTA </w:t>
      </w:r>
      <w:r>
        <w:t xml:space="preserve">); (vi) Quadratic decoherence scaling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∝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Z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Failure of (i)–(iii) directly falsifies the corresponding BPR derivation. A null result on all of (iv)–(vi) at the predicted sensitivity rules out BPR’s coupling constants.</w:t>
      </w:r>
    </w:p>
    <w:bookmarkEnd w:id="22"/>
    <w:bookmarkStart w:id="23" w:name="relation-to-existing-frameworks."/>
    <w:p>
      <w:pPr>
        <w:pStyle w:val="Heading2"/>
      </w:pPr>
      <w:r>
        <w:t xml:space="preserve">Relation to Existing Frameworks.</w:t>
      </w:r>
    </w:p>
    <w:p>
      <w:pPr>
        <w:pStyle w:val="FirstParagraph"/>
      </w:pPr>
      <w:r>
        <w:t xml:space="preserve">Like AdS/CFT </w:t>
      </w:r>
      <w:r>
        <w:t xml:space="preserve">, BPR encodes bulk physics on boundaries but operates on general surfaces and produces tabletop predictions. Like TQFT </w:t>
      </w:r>
      <w:r>
        <w:t xml:space="preserve">, it uses boundary topology for particle spectra but derives numerical values. Like decoherent histories </w:t>
      </w:r>
      <w:r>
        <w:t xml:space="preserve">, it treats measurement as boundary formation but adds testable impedance scaling. Unlike effective field theory, it derives couplings from a specific discrete substrate.</w:t>
      </w:r>
    </w:p>
    <w:bookmarkEnd w:id="23"/>
    <w:bookmarkEnd w:id="24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BPR derives 50 quantitative predictions from a boundary phase field action with 7 inputs (3 substrate, 4 anchors), all agreeing with experiment within</w:t>
      </w:r>
      <w:r>
        <w:t xml:space="preserve"> </w:t>
      </w:r>
      <m:oMath>
        <m:r>
          <m:t>2</m:t>
        </m:r>
        <m:r>
          <m:t>σ</m:t>
        </m:r>
      </m:oMath>
      <w:r>
        <w:t xml:space="preserve">. The Higgs mass (</w:t>
      </w:r>
      <m:oMath>
        <m:r>
          <m:t>0.04</m:t>
        </m:r>
        <m:r>
          <m:rPr>
            <m:sty m:val="p"/>
          </m:rPr>
          <m:t>%</m:t>
        </m:r>
      </m:oMath>
      <w:r>
        <w:t xml:space="preserve">), quark mass ratios (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20.0</m:t>
        </m:r>
      </m:oMath>
      <w:r>
        <w:t xml:space="preserve"> </w:t>
      </w:r>
      <w:r>
        <w:t xml:space="preserve">exact), neutrino angles (all within</w:t>
      </w:r>
      <w:r>
        <w:t xml:space="preserve"> </w:t>
      </w:r>
      <m:oMath>
        <m:r>
          <m:t>0.6</m:t>
        </m:r>
        <m:r>
          <m:t>σ</m:t>
        </m:r>
      </m:oMath>
      <w:r>
        <w:t xml:space="preserve">), dark matter relic density (within 10%), and baryon asymmetry (</w:t>
      </w:r>
      <m:oMath>
        <m:r>
          <m:t>0.4</m:t>
        </m:r>
        <m:r>
          <m:t>σ</m:t>
        </m:r>
      </m:oMath>
      <w:r>
        <w:t xml:space="preserve">) follow from coarse-graining a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lattice Hamiltonian and coupling the resulting boundary field to bulk geometry. Six falsifiable predictions are testable within five years.</w:t>
      </w:r>
    </w:p>
    <w:p>
      <w:pPr>
        <w:pStyle w:val="BodyText"/>
      </w:pPr>
      <w:r>
        <w:t xml:space="preserve">All code is open-source at</w:t>
      </w:r>
      <w:r>
        <w:t xml:space="preserve"> </w:t>
      </w:r>
      <w:hyperlink r:id="rId25">
        <w:r>
          <w:rPr>
            <w:rStyle w:val="Hyperlink"/>
          </w:rPr>
          <w:t xml:space="preserve">https://github.com/jackalkahwati/BPR-Math-Spine</w:t>
        </w:r>
      </w:hyperlink>
      <w:r>
        <w:t xml:space="preserve"> </w:t>
      </w:r>
      <w:r>
        <w:t xml:space="preserve">(MIT, 488 tests).</w:t>
      </w:r>
    </w:p>
    <w:bookmarkStart w:id="26" w:name="data-availability."/>
    <w:p>
      <w:pPr>
        <w:pStyle w:val="Heading2"/>
      </w:pPr>
      <w:r>
        <w:t xml:space="preserve">Data Availability.</w:t>
      </w:r>
    </w:p>
    <w:p>
      <w:pPr>
        <w:pStyle w:val="FirstParagraph"/>
      </w:pPr>
      <w:r>
        <w:t xml:space="preserve">All code and data at</w:t>
      </w:r>
      <w:r>
        <w:t xml:space="preserve"> </w:t>
      </w:r>
      <w:hyperlink r:id="rId25">
        <w:r>
          <w:rPr>
            <w:rStyle w:val="Hyperlink"/>
          </w:rPr>
          <w:t xml:space="preserve">https://github.com/jackalkahwati/BPR-Math-Spine</w:t>
        </w:r>
      </w:hyperlink>
      <w:r>
        <w:t xml:space="preserve"> </w:t>
      </w:r>
      <w:r>
        <w:t xml:space="preserve">(MIT license).</w:t>
      </w:r>
    </w:p>
    <w:p>
      <w:pPr>
        <w:pStyle w:val="BodyText"/>
      </w:pPr>
      <w:r>
        <w:t xml:space="preserve">27</w:t>
      </w:r>
    </w:p>
    <w:p>
      <w:pPr>
        <w:pStyle w:val="BodyText"/>
      </w:pPr>
      <w:r>
        <w:t xml:space="preserve">J. Maldacena, The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limit of superconformal field theories and supergravity.</w:t>
      </w:r>
      <w:r>
        <w:t xml:space="preserve"> </w:t>
      </w:r>
      <w:r>
        <w:rPr>
          <w:i/>
          <w:iCs/>
        </w:rPr>
        <w:t xml:space="preserve">Adv. Theor. Math. Phys.</w:t>
      </w:r>
      <w:r>
        <w:t xml:space="preserve"> </w:t>
      </w:r>
      <w:r>
        <w:rPr>
          <w:b/>
          <w:bCs/>
        </w:rPr>
        <w:t xml:space="preserve">2</w:t>
      </w:r>
      <w:r>
        <w:t xml:space="preserve">, 231–252 (1998).</w:t>
      </w:r>
    </w:p>
    <w:p>
      <w:pPr>
        <w:pStyle w:val="BodyText"/>
      </w:pPr>
      <w:r>
        <w:t xml:space="preserve">S. Ryu, T. Takayanagi, Holographic derivation of entanglement entropy from AdS/CFT.</w:t>
      </w:r>
      <w:r>
        <w:t xml:space="preserve"> </w:t>
      </w:r>
      <w:r>
        <w:rPr>
          <w:i/>
          <w:iCs/>
        </w:rPr>
        <w:t xml:space="preserve">Phys. Rev. Lett.</w:t>
      </w:r>
      <w:r>
        <w:t xml:space="preserve"> </w:t>
      </w:r>
      <w:r>
        <w:rPr>
          <w:b/>
          <w:bCs/>
        </w:rPr>
        <w:t xml:space="preserve">96</w:t>
      </w:r>
      <w:r>
        <w:t xml:space="preserve">, 181602 (2006).</w:t>
      </w:r>
    </w:p>
    <w:p>
      <w:pPr>
        <w:pStyle w:val="BodyText"/>
      </w:pPr>
      <w:r>
        <w:t xml:space="preserve">M. Z. Hasan, C. L. Kane, Colloquium: Topological insulators.</w:t>
      </w:r>
      <w:r>
        <w:t xml:space="preserve"> </w:t>
      </w:r>
      <w:r>
        <w:rPr>
          <w:i/>
          <w:iCs/>
        </w:rPr>
        <w:t xml:space="preserve">Rev. Mod. Phys.</w:t>
      </w:r>
      <w:r>
        <w:t xml:space="preserve"> </w:t>
      </w:r>
      <w:r>
        <w:rPr>
          <w:b/>
          <w:bCs/>
        </w:rPr>
        <w:t xml:space="preserve">82</w:t>
      </w:r>
      <w:r>
        <w:t xml:space="preserve">, 3045–3067 (2010).</w:t>
      </w:r>
    </w:p>
    <w:p>
      <w:pPr>
        <w:pStyle w:val="BodyText"/>
      </w:pPr>
      <w:r>
        <w:t xml:space="preserve">X.-L. Qi, S.-C. Zhang, Topological insulators and superconductors.</w:t>
      </w:r>
      <w:r>
        <w:t xml:space="preserve"> </w:t>
      </w:r>
      <w:r>
        <w:rPr>
          <w:i/>
          <w:iCs/>
        </w:rPr>
        <w:t xml:space="preserve">Rev. Mod. Phys.</w:t>
      </w:r>
      <w:r>
        <w:t xml:space="preserve"> </w:t>
      </w:r>
      <w:r>
        <w:rPr>
          <w:b/>
          <w:bCs/>
        </w:rPr>
        <w:t xml:space="preserve">83</w:t>
      </w:r>
      <w:r>
        <w:t xml:space="preserve">, 1057–1110 (2011).</w:t>
      </w:r>
    </w:p>
    <w:p>
      <w:pPr>
        <w:pStyle w:val="BodyText"/>
      </w:pPr>
      <w:r>
        <w:t xml:space="preserve">W. H. Zurek, Decoherence, einselection, and the quantum origins of the classical.</w:t>
      </w:r>
      <w:r>
        <w:t xml:space="preserve"> </w:t>
      </w:r>
      <w:r>
        <w:rPr>
          <w:i/>
          <w:iCs/>
        </w:rPr>
        <w:t xml:space="preserve">Rev. Mod. Phys.</w:t>
      </w:r>
      <w:r>
        <w:t xml:space="preserve"> </w:t>
      </w:r>
      <w:r>
        <w:rPr>
          <w:b/>
          <w:bCs/>
        </w:rPr>
        <w:t xml:space="preserve">75</w:t>
      </w:r>
      <w:r>
        <w:t xml:space="preserve">, 715–775 (2003).</w:t>
      </w:r>
    </w:p>
    <w:p>
      <w:pPr>
        <w:pStyle w:val="BodyText"/>
      </w:pPr>
      <w:r>
        <w:t xml:space="preserve">M. Schlosshauer, Decoherence, the measurement problem, and interpretations of quantum mechanics.</w:t>
      </w:r>
      <w:r>
        <w:t xml:space="preserve"> </w:t>
      </w:r>
      <w:r>
        <w:rPr>
          <w:i/>
          <w:iCs/>
        </w:rPr>
        <w:t xml:space="preserve">Rev. Mod. Phys.</w:t>
      </w:r>
      <w:r>
        <w:t xml:space="preserve"> </w:t>
      </w:r>
      <w:r>
        <w:rPr>
          <w:b/>
          <w:bCs/>
        </w:rPr>
        <w:t xml:space="preserve">76</w:t>
      </w:r>
      <w:r>
        <w:t xml:space="preserve">, 1267–1305 (2005).</w:t>
      </w:r>
    </w:p>
    <w:p>
      <w:pPr>
        <w:pStyle w:val="BodyText"/>
      </w:pPr>
      <w:r>
        <w:t xml:space="preserve">L. P. Kadanoff, Scaling laws for Ising models near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rPr>
          <w:i/>
          <w:iCs/>
        </w:rPr>
        <w:t xml:space="preserve">Physics</w:t>
      </w:r>
      <w:r>
        <w:t xml:space="preserve"> </w:t>
      </w:r>
      <w:r>
        <w:rPr>
          <w:b/>
          <w:bCs/>
        </w:rPr>
        <w:t xml:space="preserve">2</w:t>
      </w:r>
      <w:r>
        <w:t xml:space="preserve">, 263–272 (1966).</w:t>
      </w:r>
    </w:p>
    <w:p>
      <w:pPr>
        <w:pStyle w:val="BodyText"/>
      </w:pPr>
      <w:r>
        <w:t xml:space="preserve">K. G. Wilson, Renormalization group and critical phenomena.</w:t>
      </w:r>
      <w:r>
        <w:t xml:space="preserve"> </w:t>
      </w:r>
      <w:r>
        <w:rPr>
          <w:i/>
          <w:iCs/>
        </w:rPr>
        <w:t xml:space="preserve">Phys. Rev. B</w:t>
      </w:r>
      <w:r>
        <w:t xml:space="preserve"> </w:t>
      </w:r>
      <w:r>
        <w:rPr>
          <w:b/>
          <w:bCs/>
        </w:rPr>
        <w:t xml:space="preserve">4</w:t>
      </w:r>
      <w:r>
        <w:t xml:space="preserve">, 3174–3183 (1971).</w:t>
      </w:r>
    </w:p>
    <w:p>
      <w:pPr>
        <w:pStyle w:val="BodyText"/>
      </w:pPr>
      <w:r>
        <w:t xml:space="preserve">H. L. Montgomery, The pair correlation of zeros of the zeta function.</w:t>
      </w:r>
      <w:r>
        <w:t xml:space="preserve"> </w:t>
      </w:r>
      <w:r>
        <w:rPr>
          <w:i/>
          <w:iCs/>
        </w:rPr>
        <w:t xml:space="preserve">Proc. Symp. Pure Math.</w:t>
      </w:r>
      <w:r>
        <w:t xml:space="preserve"> </w:t>
      </w:r>
      <w:r>
        <w:rPr>
          <w:b/>
          <w:bCs/>
        </w:rPr>
        <w:t xml:space="preserve">24</w:t>
      </w:r>
      <w:r>
        <w:t xml:space="preserve">, 181–193 (1973).</w:t>
      </w:r>
    </w:p>
    <w:p>
      <w:pPr>
        <w:pStyle w:val="BodyText"/>
      </w:pPr>
      <w:r>
        <w:t xml:space="preserve">A. M. Odlyzko, On the distribution of spacings between zeros of the zeta function.</w:t>
      </w:r>
      <w:r>
        <w:t xml:space="preserve"> </w:t>
      </w:r>
      <w:r>
        <w:rPr>
          <w:i/>
          <w:iCs/>
        </w:rPr>
        <w:t xml:space="preserve">Math. Comp.</w:t>
      </w:r>
      <w:r>
        <w:t xml:space="preserve"> </w:t>
      </w:r>
      <w:r>
        <w:rPr>
          <w:b/>
          <w:bCs/>
        </w:rPr>
        <w:t xml:space="preserve">48</w:t>
      </w:r>
      <w:r>
        <w:t xml:space="preserve">, 273–308 (1987).</w:t>
      </w:r>
    </w:p>
    <w:p>
      <w:pPr>
        <w:pStyle w:val="BodyText"/>
      </w:pPr>
      <w:r>
        <w:t xml:space="preserve">R. S. Decca</w:t>
      </w:r>
      <w:r>
        <w:t xml:space="preserve"> </w:t>
      </w:r>
      <w:r>
        <w:rPr>
          <w:i/>
          <w:iCs/>
        </w:rPr>
        <w:t xml:space="preserve">et al.</w:t>
      </w:r>
      <w:r>
        <w:t xml:space="preserve">, Tests of new physics from precise Casimir force measurements.</w:t>
      </w:r>
      <w:r>
        <w:t xml:space="preserve"> </w:t>
      </w:r>
      <w:r>
        <w:rPr>
          <w:i/>
          <w:iCs/>
        </w:rPr>
        <w:t xml:space="preserve">Phys. Rev. D</w:t>
      </w:r>
      <w:r>
        <w:t xml:space="preserve"> </w:t>
      </w:r>
      <w:r>
        <w:rPr>
          <w:b/>
          <w:bCs/>
        </w:rPr>
        <w:t xml:space="preserve">68</w:t>
      </w:r>
      <w:r>
        <w:t xml:space="preserve">, 116003 (2003).</w:t>
      </w:r>
    </w:p>
    <w:p>
      <w:pPr>
        <w:pStyle w:val="BodyText"/>
      </w:pPr>
      <w:r>
        <w:t xml:space="preserve">Delft University superconducting Casimir measurement platform (2024).</w:t>
      </w:r>
    </w:p>
    <w:p>
      <w:pPr>
        <w:pStyle w:val="BodyText"/>
      </w:pPr>
      <w:r>
        <w:t xml:space="preserve">M. Arndt</w:t>
      </w:r>
      <w:r>
        <w:t xml:space="preserve"> </w:t>
      </w:r>
      <w:r>
        <w:rPr>
          <w:i/>
          <w:iCs/>
        </w:rPr>
        <w:t xml:space="preserve">et al.</w:t>
      </w:r>
      <w:r>
        <w:t xml:space="preserve">, Wave-particle duality of C</w:t>
      </w:r>
      <m:oMath>
        <m:sSub>
          <m:e>
            <m:r>
              <m:t>​</m:t>
            </m:r>
          </m:e>
          <m:sub>
            <m:r>
              <m:t>60</m:t>
            </m:r>
          </m:sub>
        </m:sSub>
      </m:oMath>
      <w:r>
        <w:t xml:space="preserve"> </w:t>
      </w:r>
      <w:r>
        <w:t xml:space="preserve">molecules.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401</w:t>
      </w:r>
      <w:r>
        <w:t xml:space="preserve">, 680–682 (1999).</w:t>
      </w:r>
    </w:p>
    <w:p>
      <w:pPr>
        <w:pStyle w:val="BodyText"/>
      </w:pPr>
      <w:r>
        <w:t xml:space="preserve">K. Hornberger</w:t>
      </w:r>
      <w:r>
        <w:t xml:space="preserve"> </w:t>
      </w:r>
      <w:r>
        <w:rPr>
          <w:i/>
          <w:iCs/>
        </w:rPr>
        <w:t xml:space="preserve">et al.</w:t>
      </w:r>
      <w:r>
        <w:t xml:space="preserve">, Collisional decoherence observed in matter wave interferometry.</w:t>
      </w:r>
      <w:r>
        <w:t xml:space="preserve"> </w:t>
      </w:r>
      <w:r>
        <w:rPr>
          <w:i/>
          <w:iCs/>
        </w:rPr>
        <w:t xml:space="preserve">Phys. Rev. Lett.</w:t>
      </w:r>
      <w:r>
        <w:t xml:space="preserve"> </w:t>
      </w:r>
      <w:r>
        <w:rPr>
          <w:b/>
          <w:bCs/>
        </w:rPr>
        <w:t xml:space="preserve">90</w:t>
      </w:r>
      <w:r>
        <w:t xml:space="preserve">, 160401 (2003).</w:t>
      </w:r>
    </w:p>
    <w:p>
      <w:pPr>
        <w:pStyle w:val="BodyText"/>
      </w:pPr>
      <w:r>
        <w:t xml:space="preserve">M. Nakahara,</w:t>
      </w:r>
      <w:r>
        <w:t xml:space="preserve"> </w:t>
      </w:r>
      <w:r>
        <w:rPr>
          <w:i/>
          <w:iCs/>
        </w:rPr>
        <w:t xml:space="preserve">Geometry, Topology and Physics</w:t>
      </w:r>
      <w:r>
        <w:t xml:space="preserve"> </w:t>
      </w:r>
      <w:r>
        <w:t xml:space="preserve">(CRC Press, 2003).</w:t>
      </w:r>
    </w:p>
    <w:p>
      <w:pPr>
        <w:pStyle w:val="BodyText"/>
      </w:pPr>
      <w:r>
        <w:t xml:space="preserve">I. Esteban</w:t>
      </w:r>
      <w:r>
        <w:t xml:space="preserve"> </w:t>
      </w:r>
      <w:r>
        <w:rPr>
          <w:i/>
          <w:iCs/>
        </w:rPr>
        <w:t xml:space="preserve">et al.</w:t>
      </w:r>
      <w:r>
        <w:t xml:space="preserve">, The fate of hints: updated global analysis of three-flavor neutrino oscillations.</w:t>
      </w:r>
      <w:r>
        <w:t xml:space="preserve"> </w:t>
      </w:r>
      <w:r>
        <w:rPr>
          <w:i/>
          <w:iCs/>
        </w:rPr>
        <w:t xml:space="preserve">J. High Energy Phys.</w:t>
      </w:r>
      <w:r>
        <w:t xml:space="preserve"> </w:t>
      </w:r>
      <w:r>
        <w:rPr>
          <w:b/>
          <w:bCs/>
        </w:rPr>
        <w:t xml:space="preserve">2020</w:t>
      </w:r>
      <w:r>
        <w:t xml:space="preserve">, 178 (2020).</w:t>
      </w:r>
    </w:p>
    <w:p>
      <w:pPr>
        <w:pStyle w:val="BodyText"/>
      </w:pPr>
      <w:r>
        <w:t xml:space="preserve">B. Pontecorvo, Neutrino experiments and the problem of conservation of leptonic charge.</w:t>
      </w:r>
      <w:r>
        <w:t xml:space="preserve"> </w:t>
      </w:r>
      <w:r>
        <w:rPr>
          <w:i/>
          <w:iCs/>
        </w:rPr>
        <w:t xml:space="preserve">Sov. Phys. JETP</w:t>
      </w:r>
      <w:r>
        <w:t xml:space="preserve"> </w:t>
      </w:r>
      <w:r>
        <w:rPr>
          <w:b/>
          <w:bCs/>
        </w:rPr>
        <w:t xml:space="preserve">26</w:t>
      </w:r>
      <w:r>
        <w:t xml:space="preserve">, 984–988 (1968).</w:t>
      </w:r>
    </w:p>
    <w:p>
      <w:pPr>
        <w:pStyle w:val="BodyText"/>
      </w:pPr>
      <w:r>
        <w:t xml:space="preserve">V. Vasileiou</w:t>
      </w:r>
      <w:r>
        <w:t xml:space="preserve"> </w:t>
      </w:r>
      <w:r>
        <w:rPr>
          <w:i/>
          <w:iCs/>
        </w:rPr>
        <w:t xml:space="preserve">et al.</w:t>
      </w:r>
      <w:r>
        <w:t xml:space="preserve">, A Planck-scale limit on spacetime fuzziness and stochastic Lorentz invariance violation.</w:t>
      </w:r>
      <w:r>
        <w:t xml:space="preserve"> </w:t>
      </w:r>
      <w:r>
        <w:rPr>
          <w:i/>
          <w:iCs/>
        </w:rPr>
        <w:t xml:space="preserve">Nature Phys.</w:t>
      </w:r>
      <w:r>
        <w:t xml:space="preserve"> </w:t>
      </w:r>
      <w:r>
        <w:rPr>
          <w:b/>
          <w:bCs/>
        </w:rPr>
        <w:t xml:space="preserve">11</w:t>
      </w:r>
      <w:r>
        <w:t xml:space="preserve">, 344–346 (2015).</w:t>
      </w:r>
    </w:p>
    <w:p>
      <w:pPr>
        <w:pStyle w:val="BodyText"/>
      </w:pPr>
      <w:r>
        <w:t xml:space="preserve">Cherenkov Telescope Array Consortium,</w:t>
      </w:r>
      <w:r>
        <w:t xml:space="preserve"> </w:t>
      </w:r>
      <w:r>
        <w:rPr>
          <w:i/>
          <w:iCs/>
        </w:rPr>
        <w:t xml:space="preserve">Science with the Cherenkov Telescope Array</w:t>
      </w:r>
      <w:r>
        <w:t xml:space="preserve"> </w:t>
      </w:r>
      <w:r>
        <w:t xml:space="preserve">(World Scientific, 2019).</w:t>
      </w:r>
    </w:p>
    <w:p>
      <w:pPr>
        <w:pStyle w:val="BodyText"/>
      </w:pPr>
      <w:r>
        <w:t xml:space="preserve">Particle Data Group, S. Navas</w:t>
      </w:r>
      <w:r>
        <w:t xml:space="preserve"> </w:t>
      </w:r>
      <w:r>
        <w:rPr>
          <w:i/>
          <w:iCs/>
        </w:rPr>
        <w:t xml:space="preserve">et al.</w:t>
      </w:r>
      <w:r>
        <w:t xml:space="preserve">, Review of Particle Physics.</w:t>
      </w:r>
      <w:r>
        <w:t xml:space="preserve"> </w:t>
      </w:r>
      <w:r>
        <w:rPr>
          <w:i/>
          <w:iCs/>
        </w:rPr>
        <w:t xml:space="preserve">Phys. Rev. D</w:t>
      </w:r>
      <w:r>
        <w:t xml:space="preserve"> </w:t>
      </w:r>
      <w:r>
        <w:rPr>
          <w:b/>
          <w:bCs/>
        </w:rPr>
        <w:t xml:space="preserve">110</w:t>
      </w:r>
      <w:r>
        <w:t xml:space="preserve">, 030001 (2024).</w:t>
      </w:r>
    </w:p>
    <w:p>
      <w:pPr>
        <w:pStyle w:val="BodyText"/>
      </w:pPr>
      <w:r>
        <w:t xml:space="preserve">U. Sinha</w:t>
      </w:r>
      <w:r>
        <w:t xml:space="preserve"> </w:t>
      </w:r>
      <w:r>
        <w:rPr>
          <w:i/>
          <w:iCs/>
        </w:rPr>
        <w:t xml:space="preserve">et al.</w:t>
      </w:r>
      <w:r>
        <w:t xml:space="preserve">, Ruling out multi-order interference in quantum mechanics.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329</w:t>
      </w:r>
      <w:r>
        <w:t xml:space="preserve">, 418–421 (2010).</w:t>
      </w:r>
    </w:p>
    <w:p>
      <w:pPr>
        <w:pStyle w:val="BodyText"/>
      </w:pPr>
      <w:r>
        <w:t xml:space="preserve">E. Witten, Topological quantum field theory.</w:t>
      </w:r>
      <w:r>
        <w:t xml:space="preserve"> </w:t>
      </w:r>
      <w:r>
        <w:rPr>
          <w:i/>
          <w:iCs/>
        </w:rPr>
        <w:t xml:space="preserve">Commun. Math. Phys.</w:t>
      </w:r>
      <w:r>
        <w:t xml:space="preserve"> </w:t>
      </w:r>
      <w:r>
        <w:rPr>
          <w:b/>
          <w:bCs/>
        </w:rPr>
        <w:t xml:space="preserve">117</w:t>
      </w:r>
      <w:r>
        <w:t xml:space="preserve">, 353–386 (1988).</w:t>
      </w:r>
    </w:p>
    <w:p>
      <w:pPr>
        <w:pStyle w:val="BodyText"/>
      </w:pPr>
      <w:r>
        <w:t xml:space="preserve">A. Logg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Automated Solution of Differential Equations by the Finite Element Method</w:t>
      </w:r>
      <w:r>
        <w:t xml:space="preserve"> </w:t>
      </w:r>
      <w:r>
        <w:t xml:space="preserve">(Springer, 2012).</w:t>
      </w:r>
    </w:p>
    <w:p>
      <w:pPr>
        <w:pStyle w:val="BodyText"/>
      </w:pPr>
      <w:r>
        <w:t xml:space="preserve">Planck Collaboration, Planck 2018 results. VI. Cosmological parameters.</w:t>
      </w:r>
      <w:r>
        <w:t xml:space="preserve"> </w:t>
      </w:r>
      <w:r>
        <w:rPr>
          <w:i/>
          <w:iCs/>
        </w:rPr>
        <w:t xml:space="preserve">Astron. Astrophys.</w:t>
      </w:r>
      <w:r>
        <w:t xml:space="preserve"> </w:t>
      </w:r>
      <w:r>
        <w:rPr>
          <w:b/>
          <w:bCs/>
        </w:rPr>
        <w:t xml:space="preserve">641</w:t>
      </w:r>
      <w:r>
        <w:t xml:space="preserve">, A6 (2020).</w:t>
      </w:r>
    </w:p>
    <w:p>
      <w:pPr>
        <w:pStyle w:val="BodyText"/>
      </w:pPr>
      <w:r>
        <w:t xml:space="preserve">E. Tiesinga</w:t>
      </w:r>
      <w:r>
        <w:t xml:space="preserve"> </w:t>
      </w:r>
      <w:r>
        <w:rPr>
          <w:i/>
          <w:iCs/>
        </w:rPr>
        <w:t xml:space="preserve">et al.</w:t>
      </w:r>
      <w:r>
        <w:t xml:space="preserve">, CODATA recommended values of the fundamental physical constants: 2018.</w:t>
      </w:r>
      <w:r>
        <w:t xml:space="preserve"> </w:t>
      </w:r>
      <w:r>
        <w:rPr>
          <w:i/>
          <w:iCs/>
        </w:rPr>
        <w:t xml:space="preserve">Rev. Mod. Phys.</w:t>
      </w:r>
      <w:r>
        <w:t xml:space="preserve"> </w:t>
      </w:r>
      <w:r>
        <w:rPr>
          <w:b/>
          <w:bCs/>
        </w:rPr>
        <w:t xml:space="preserve">93</w:t>
      </w:r>
      <w:r>
        <w:t xml:space="preserve">, 025010 (2021).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github.com/jackalkahwati/BPR-Math-Spi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github.com/jackalkahwati/BPR-Math-Spin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Boundary Phase Resonance: A Discrete Lattice Origin for the Standard Model Spectrum</dc:title>
  <dc:creator>Jack Al-Kahwati</dc:creator>
  <cp:keywords/>
  <dcterms:created xsi:type="dcterms:W3CDTF">2026-02-10T03:36:19Z</dcterms:created>
  <dcterms:modified xsi:type="dcterms:W3CDTF">2026-02-10T03:36:19Z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