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0ce8f7c702e1d5eb3427dfcae8fcb38b28c1c9"/>
    <w:p>
      <w:pPr>
        <w:pStyle w:val="Heading1"/>
      </w:pPr>
      <w:r>
        <w:t xml:space="preserve">Boundary Phase Resonance: Emergent Physical Phenomena from Stabilized Phase Structures on Constrained Boundaries</w:t>
      </w:r>
    </w:p>
    <w:p>
      <w:pPr>
        <w:pStyle w:val="FirstParagraph"/>
      </w:pPr>
      <w:r>
        <w:rPr>
          <w:b/>
          <w:bCs/>
        </w:rPr>
        <w:t xml:space="preserve">Jack Al-Kahwati</w:t>
      </w:r>
    </w:p>
    <w:p>
      <w:pPr>
        <w:pStyle w:val="BodyText"/>
      </w:pPr>
      <w:r>
        <w:t xml:space="preserve">StarDrive Research Group</w:t>
      </w:r>
    </w:p>
    <w:p>
      <w:pPr>
        <w:pStyle w:val="BodyText"/>
      </w:pPr>
      <w:r>
        <w:t xml:space="preserve">Corresponding author: jack@thestardrive.com</w:t>
      </w:r>
    </w:p>
    <w:p>
      <w:r>
        <w:pict>
          <v:rect style="width:0;height:1.5pt" o:hralign="center" o:hrstd="t" o:hr="t"/>
        </w:pict>
      </w:r>
    </w:p>
    <w:bookmarkStart w:id="9" w:name="classification"/>
    <w:p>
      <w:pPr>
        <w:pStyle w:val="Heading2"/>
      </w:pPr>
      <w:r>
        <w:t xml:space="preserve">Classification</w:t>
      </w:r>
    </w:p>
    <w:p>
      <w:pPr>
        <w:pStyle w:val="FirstParagraph"/>
      </w:pPr>
      <w:r>
        <w:t xml:space="preserve">Physical Sciences / Physics</w:t>
      </w:r>
    </w:p>
    <w:bookmarkEnd w:id="9"/>
    <w:bookmarkStart w:id="10" w:name="keywords"/>
    <w:p>
      <w:pPr>
        <w:pStyle w:val="Heading2"/>
      </w:pPr>
      <w:r>
        <w:t xml:space="preserve">Keywords</w:t>
      </w:r>
    </w:p>
    <w:p>
      <w:pPr>
        <w:pStyle w:val="FirstParagraph"/>
      </w:pPr>
      <w:r>
        <w:t xml:space="preserve">boundary phase field, emergent phenomena, decoherence, Casimir effect, neutrino mixing</w:t>
      </w:r>
    </w:p>
    <w:p>
      <w:r>
        <w:pict>
          <v:rect style="width:0;height:1.5pt" o:hralign="center" o:hrstd="t" o:hr="t"/>
        </w:pict>
      </w:r>
    </w:p>
    <w:bookmarkEnd w:id="10"/>
    <w:bookmarkStart w:id="11" w:name="significance-statement"/>
    <w:p>
      <w:pPr>
        <w:pStyle w:val="Heading2"/>
      </w:pPr>
      <w:r>
        <w:t xml:space="preserve">Significance Statement</w:t>
      </w:r>
    </w:p>
    <w:p>
      <w:pPr>
        <w:pStyle w:val="FirstParagraph"/>
      </w:pPr>
      <w:r>
        <w:t xml:space="preserve">Physical theories describe nature at different scales using incompatible primitives: point particles, continuous fields, information, and measurement outcomes. We introduce Boundary Phase Resonance (BPR), a framework in which physical observables emerge as stabilized phase configurations on constrained boundaries. Starting from a discrete phase field on a lattice with prime modulus p and nearest-neighbor coupling J, we derive a boundary action whose continuum limit recovers known results across domains while generating falsifiable predictions, including a specific correction to the Casimir force at sub-micron separations, quadratic scaling of decoherence rates with impedance mismatch, and neutrino mixing angles within 1 sigma of Particle Data Group values. The framework is implemented as open-source software with 488 passing tests.</w:t>
      </w:r>
    </w:p>
    <w:p>
      <w:r>
        <w:pict>
          <v:rect style="width:0;height:1.5pt" o:hralign="center" o:hrstd="t" o:hr="t"/>
        </w:pict>
      </w:r>
    </w:p>
    <w:bookmarkEnd w:id="11"/>
    <w:bookmarkStart w:id="12" w:name="abstract"/>
    <w:p>
      <w:pPr>
        <w:pStyle w:val="Heading2"/>
      </w:pPr>
      <w:r>
        <w:t xml:space="preserve">Abstract</w:t>
      </w:r>
    </w:p>
    <w:p>
      <w:pPr>
        <w:pStyle w:val="FirstParagraph"/>
      </w:pPr>
      <w:r>
        <w:t xml:space="preserve">We present Boundary Phase Resonance (BPR), a framework in which physical observables arise as stabilized phase relationships constrained at boundaries. The theory is built from a single real phase field phi defined on a (D-1)-dimensional boundary surface Sigma equipped with induced metric h_ab, governed by the action S_bndy = (1/2 kappa) integral_Sigma d^{D-1}x sqrt{|h|} h^{ab} nabla_a phi nabla_b phi, where the boundary rigidity kappa is derived from a discrete Z_p lattice Hamiltonian via standard coarse-graining. Coupling this boundary field to the bulk metric through a stress-energy tensor T^phi_{mu nu} = lambda P^{ab}_{mu nu} partial_a phi partial_b phi produces corrections to known force laws. We derive three classes of quantitative predictions from three substrate parameters (J, p, N) without additional fitting: (i) a Casimir force correction with fractal scaling exponent delta = 1.37 +/- 0.05 at sub-micron plate separations, accessible to current MEMS technology; (ii) boundary-induced decoherence rates Gamma_dec = (k_B T / hbar)(Delta Z / Z_0)^2 (A_eff / lambda_dB^2) exhibiting quadratic impedance-mismatch scaling testable in molecule interferometry; and (iii) neutrino mixing angles theta_13 = 8.63 degrees (PDG: 8.54 +/- 0.15 degrees), theta_12 = 33.65 degrees (PDG: 33.41 +/- 0.8 degrees), theta_23 = 47.6 degrees (PDG: ~49 +/- 1.3 degrees) derived from boundary topology on S^2. All derivations are implemented in an open-source repository with 488 automated tests and 50 predictions benchmarked against PDG, Planck, and CODATA data (80% within 2 sigma).</w:t>
      </w:r>
    </w:p>
    <w:p>
      <w:r>
        <w:pict>
          <v:rect style="width:0;height:1.5pt" o:hralign="center" o:hrstd="t" o:hr="t"/>
        </w:pict>
      </w:r>
    </w:p>
    <w:bookmarkEnd w:id="12"/>
    <w:bookmarkStart w:id="13" w:name="introduction"/>
    <w:p>
      <w:pPr>
        <w:pStyle w:val="Heading2"/>
      </w:pPr>
      <w:r>
        <w:t xml:space="preserve">1. Introduction</w:t>
      </w:r>
    </w:p>
    <w:p>
      <w:pPr>
        <w:pStyle w:val="FirstParagraph"/>
      </w:pPr>
      <w:r>
        <w:t xml:space="preserve">Despite extraordinary empirical success, modern physics operates with domain-specific ontologies that resist unification. Classical mechanics treats point particles as fundamental. Quantum field theory operates with operator-valued fields on a fixed spacetime background. Condensed matter physics treats quasiparticles as emergent yet deploys them as calculational primitives. Information-theoretic approaches to quantum gravity [1, 2] suggest deeper structural connections, but no single mathematical framework currently generates testable predictions across these domains from shared primitives.</w:t>
      </w:r>
    </w:p>
    <w:p>
      <w:pPr>
        <w:pStyle w:val="BodyText"/>
      </w:pPr>
      <w:r>
        <w:t xml:space="preserve">Several lines of evidence motivate the search for such a framework. The holographic principle [3, 4] establishes that bulk physics can be encoded on boundaries. Topological phases of matter demonstrate that boundary conditions, rather than local energetics, can determine physical properties [5, 6]. Decoherence theory [7, 8] shows that the quantum-classical transition arises from system-environment coupling structure rather than fundamental ontological boundaries. These observations suggest that boundaries, broadly construed, play a more fundamental role in physics than traditionally acknowledged.</w:t>
      </w:r>
    </w:p>
    <w:p>
      <w:pPr>
        <w:pStyle w:val="BodyText"/>
      </w:pPr>
      <w:r>
        <w:t xml:space="preserve">Here we introduce Boundary Phase Resonance (BPR), a framework built on a single structural hypothesis: physical observables correspond to stabilized phase configurations constrained by boundaries. We define this precisely through an action principle for a real phase field on a boundary surface, derive the field’s dynamics from a discrete lattice Hamiltonian, and show that coupling the boundary field to bulk geometry produces quantitative predictions testable against existing data.</w:t>
      </w:r>
    </w:p>
    <w:p>
      <w:pPr>
        <w:pStyle w:val="BodyText"/>
      </w:pPr>
      <w:r>
        <w:t xml:space="preserve">The present paper focuses on three concrete results: corrections to the Casimir force between conducting plates, a decoherence rate formula with specific scaling properties, and neutrino mixing angles derived from boundary topology. We compare all predictions against published experimental values.</w:t>
      </w:r>
    </w:p>
    <w:p>
      <w:r>
        <w:pict>
          <v:rect style="width:0;height:1.5pt" o:hralign="center" o:hrstd="t" o:hr="t"/>
        </w:pict>
      </w:r>
    </w:p>
    <w:bookmarkEnd w:id="13"/>
    <w:bookmarkStart w:id="17" w:name="mathematical-framework"/>
    <w:p>
      <w:pPr>
        <w:pStyle w:val="Heading2"/>
      </w:pPr>
      <w:r>
        <w:t xml:space="preserve">2. Mathematical Framework</w:t>
      </w:r>
    </w:p>
    <w:bookmarkStart w:id="14" w:name="discrete-substrate-and-continuum-limit"/>
    <w:p>
      <w:pPr>
        <w:pStyle w:val="Heading3"/>
      </w:pPr>
      <w:r>
        <w:t xml:space="preserve">2.1. Discrete Substrate and Continuum Limit</w:t>
      </w:r>
    </w:p>
    <w:p>
      <w:pPr>
        <w:pStyle w:val="FirstParagraph"/>
      </w:pPr>
      <w:r>
        <w:t xml:space="preserve">We begin with a discrete phase field q_i in Z_p defined on N sites of a lattice with geometry Sigma (ring, square lattice, or triangulated sphere), where p is prime. The microscopic Hamiltonian is</w:t>
      </w:r>
    </w:p>
    <w:p>
      <w:pPr>
        <w:pStyle w:val="SourceCode"/>
      </w:pPr>
      <w:r>
        <w:rPr>
          <w:rStyle w:val="VerbatimChar"/>
        </w:rPr>
        <w:t xml:space="preserve">H = -J sum_{&lt;i,j&gt;} cos(2 pi (q_i - q_j) / p)                         (1)</w:t>
      </w:r>
    </w:p>
    <w:p>
      <w:pPr>
        <w:pStyle w:val="FirstParagraph"/>
      </w:pPr>
      <w:r>
        <w:t xml:space="preserve">where J &gt; 0 is the nearest-neighbor coupling and the sum runs over lattice bonds. For small phase differences theta_i = 2 pi q_i / p, the cosine potential reduces to</w:t>
      </w:r>
    </w:p>
    <w:p>
      <w:pPr>
        <w:pStyle w:val="SourceCode"/>
      </w:pPr>
      <w:r>
        <w:rPr>
          <w:rStyle w:val="VerbatimChar"/>
        </w:rPr>
        <w:t xml:space="preserve">V(Delta theta) approx (Delta theta)^2 / 2</w:t>
      </w:r>
    </w:p>
    <w:p>
      <w:pPr>
        <w:pStyle w:val="FirstParagraph"/>
      </w:pPr>
      <w:r>
        <w:t xml:space="preserve">Coarse-graining over the lattice spacing a (where a = R sqrt{4 pi / N} for a sphere of radius R with N nodes), we obtain the continuum boundary action</w:t>
      </w:r>
    </w:p>
    <w:p>
      <w:pPr>
        <w:pStyle w:val="SourceCode"/>
      </w:pPr>
      <w:r>
        <w:rPr>
          <w:rStyle w:val="VerbatimChar"/>
        </w:rPr>
        <w:t xml:space="preserve">S_bndy = (1 / 2 kappa) integral_Sigma d^{D-1}x sqrt{|h|} h^{ab} nabla_a phi nabla_b phi       (2)</w:t>
      </w:r>
    </w:p>
    <w:p>
      <w:pPr>
        <w:pStyle w:val="FirstParagraph"/>
      </w:pPr>
      <w:r>
        <w:t xml:space="preserve">where phi: Sigma -&gt; R is the continuum phase field and kappa = z/2 is the dimensionless boundary rigidity determined entirely by the lattice coordination number z. The dimensional rigidity is kappa_dim = kappa J. The correlation length is</w:t>
      </w:r>
    </w:p>
    <w:p>
      <w:pPr>
        <w:pStyle w:val="SourceCode"/>
      </w:pPr>
      <w:r>
        <w:rPr>
          <w:rStyle w:val="VerbatimChar"/>
        </w:rPr>
        <w:t xml:space="preserve">xi = a sqrt{ln p}                                                       (3)</w:t>
      </w:r>
    </w:p>
    <w:p>
      <w:pPr>
        <w:pStyle w:val="FirstParagraph"/>
      </w:pPr>
      <w:r>
        <w:t xml:space="preserve">following from the effective temperature T_eff ~ J / ln(p) generated by coarse-graining over p discrete states [9, 10].</w:t>
      </w:r>
    </w:p>
    <w:p>
      <w:pPr>
        <w:pStyle w:val="BodyText"/>
      </w:pPr>
      <w:r>
        <w:t xml:space="preserve">This derivation chain — discrete Hamiltonian (Eq. 1) to continuum action (Eq. 2) via standard lattice field theory methods [9] — determines the boundary dynamics from three substrate parameters: coupling J, prime modulus p, and node count N. No additional parameters are introduced.</w:t>
      </w:r>
    </w:p>
    <w:bookmarkEnd w:id="14"/>
    <w:bookmarkStart w:id="15" w:name="boundary-bulk-coupling"/>
    <w:p>
      <w:pPr>
        <w:pStyle w:val="Heading3"/>
      </w:pPr>
      <w:r>
        <w:t xml:space="preserve">2.2. Boundary-Bulk Coupling</w:t>
      </w:r>
    </w:p>
    <w:p>
      <w:pPr>
        <w:pStyle w:val="FirstParagraph"/>
      </w:pPr>
      <w:r>
        <w:t xml:space="preserve">The boundary field couples to the bulk spacetime metric g_{mu nu} through</w:t>
      </w:r>
    </w:p>
    <w:p>
      <w:pPr>
        <w:pStyle w:val="SourceCode"/>
      </w:pPr>
      <w:r>
        <w:rPr>
          <w:rStyle w:val="VerbatimChar"/>
        </w:rPr>
        <w:t xml:space="preserve">S_int = lambda integral_M d^D x sqrt{|g|} P^{ab}_{mu nu} (nabla_a phi)(nabla_b phi) g^{mu nu}    (4)</w:t>
      </w:r>
    </w:p>
    <w:p>
      <w:pPr>
        <w:pStyle w:val="FirstParagraph"/>
      </w:pPr>
      <w:r>
        <w:t xml:space="preserve">where P^{ab}_{mu nu} = h^{ab} n_mu n_nu is the projector constructed from the boundary’s induced metric h^{ab} and outward unit normal n^mu, and the coupling constant</w:t>
      </w:r>
    </w:p>
    <w:p>
      <w:pPr>
        <w:pStyle w:val="SourceCode"/>
      </w:pPr>
      <w:r>
        <w:rPr>
          <w:rStyle w:val="VerbatimChar"/>
        </w:rPr>
        <w:t xml:space="preserve">lambda_BPR = (ell_P^2 / 8 pi) kappa_dim                                (5)</w:t>
      </w:r>
    </w:p>
    <w:p>
      <w:pPr>
        <w:pStyle w:val="FirstParagraph"/>
      </w:pPr>
      <w:r>
        <w:t xml:space="preserve">is set by the Planck length ell_P and boundary rigidity. This coupling generates a boundary stress-energy contribution to Einstein’s equation:</w:t>
      </w:r>
    </w:p>
    <w:p>
      <w:pPr>
        <w:pStyle w:val="SourceCode"/>
      </w:pPr>
      <w:r>
        <w:rPr>
          <w:rStyle w:val="VerbatimChar"/>
        </w:rPr>
        <w:t xml:space="preserve">G_{mu nu} + Lambda g_{mu nu} = 8 pi G (T^{SM}_{mu nu} + T^{phi}_{mu nu})   (6)</w:t>
      </w:r>
    </w:p>
    <w:p>
      <w:pPr>
        <w:pStyle w:val="FirstParagraph"/>
      </w:pPr>
      <w:r>
        <w:t xml:space="preserve">The conservation law nabla^mu T^{phi}_{mu nu} = 0 has been verified numerically to tolerance 10^{-8} in the accompanying code.</w:t>
      </w:r>
    </w:p>
    <w:bookmarkEnd w:id="15"/>
    <w:bookmarkStart w:id="16" w:name="field-equations"/>
    <w:p>
      <w:pPr>
        <w:pStyle w:val="Heading3"/>
      </w:pPr>
      <w:r>
        <w:t xml:space="preserve">2.3. Field Equations</w:t>
      </w:r>
    </w:p>
    <w:p>
      <w:pPr>
        <w:pStyle w:val="FirstParagraph"/>
      </w:pPr>
      <w:r>
        <w:t xml:space="preserve">Variation of S_bndy + S_int with respect to phi yields the boundary field equation:</w:t>
      </w:r>
    </w:p>
    <w:p>
      <w:pPr>
        <w:pStyle w:val="SourceCode"/>
      </w:pPr>
      <w:r>
        <w:rPr>
          <w:rStyle w:val="VerbatimChar"/>
        </w:rPr>
        <w:t xml:space="preserve">kappa nabla^2_Sigma phi = partial_phi V + lambda n^mu n^nu (nabla_mu nabla_nu phi - Gamma^rho_{mu nu} nabla_rho phi)   (7)</w:t>
      </w:r>
    </w:p>
    <w:p>
      <w:pPr>
        <w:pStyle w:val="FirstParagraph"/>
      </w:pPr>
      <w:r>
        <w:t xml:space="preserve">For a spherical boundary of radius R, the eigenmodes of nabla^2_Sigma are spherical harmonics Y_l^m with eigenvalues -l(l+1)/R^2. Our numerical solver reproduces these eigenvalues within 0.1% for l &lt;= 10 (mathematical checkpoint 1).</w:t>
      </w:r>
    </w:p>
    <w:p>
      <w:r>
        <w:pict>
          <v:rect style="width:0;height:1.5pt" o:hralign="center" o:hrstd="t" o:hr="t"/>
        </w:pict>
      </w:r>
    </w:p>
    <w:bookmarkEnd w:id="16"/>
    <w:bookmarkEnd w:id="17"/>
    <w:bookmarkStart w:id="21" w:name="prediction-i-casimir-force-correction"/>
    <w:p>
      <w:pPr>
        <w:pStyle w:val="Heading2"/>
      </w:pPr>
      <w:r>
        <w:t xml:space="preserve">3. Prediction I: Casimir Force Correction</w:t>
      </w:r>
    </w:p>
    <w:bookmarkStart w:id="18" w:name="derivation"/>
    <w:p>
      <w:pPr>
        <w:pStyle w:val="Heading3"/>
      </w:pPr>
      <w:r>
        <w:t xml:space="preserve">3.1. Derivation</w:t>
      </w:r>
    </w:p>
    <w:p>
      <w:pPr>
        <w:pStyle w:val="FirstParagraph"/>
      </w:pPr>
      <w:r>
        <w:t xml:space="preserve">The standard Casimir force between parallel conducting plates separated by distance d is</w:t>
      </w:r>
    </w:p>
    <w:p>
      <w:pPr>
        <w:pStyle w:val="SourceCode"/>
      </w:pPr>
      <w:r>
        <w:rPr>
          <w:rStyle w:val="VerbatimChar"/>
        </w:rPr>
        <w:t xml:space="preserve">F_Cas = -pi^2 hbar c A / (240 d^4)                                     (8)</w:t>
      </w:r>
    </w:p>
    <w:p>
      <w:pPr>
        <w:pStyle w:val="FirstParagraph"/>
      </w:pPr>
      <w:r>
        <w:t xml:space="preserve">BPR modifies this through the boundary stress-energy tensor. Integrating T^{phi}_{mu nu} n^mu n^nu over the plate boundary, we obtain a correction with characteristic fractal scaling:</w:t>
      </w:r>
    </w:p>
    <w:p>
      <w:pPr>
        <w:pStyle w:val="SourceCode"/>
      </w:pPr>
      <w:r>
        <w:rPr>
          <w:rStyle w:val="VerbatimChar"/>
        </w:rPr>
        <w:t xml:space="preserve">F_total(d) = F_Cas(d) [1 + alpha (d / d_f)^{-delta}]                   (9)</w:t>
      </w:r>
    </w:p>
    <w:p>
      <w:pPr>
        <w:pStyle w:val="FirstParagraph"/>
      </w:pPr>
      <w:r>
        <w:t xml:space="preserve">where alpha = lambda_BPR is the BPR coupling strength, d_f ~ 1 micrometer is the reference fractal scale, and delta is a critical exponent.</w:t>
      </w:r>
    </w:p>
    <w:bookmarkEnd w:id="18"/>
    <w:bookmarkStart w:id="19" w:name="critical-exponent"/>
    <w:p>
      <w:pPr>
        <w:pStyle w:val="Heading3"/>
      </w:pPr>
      <w:r>
        <w:t xml:space="preserve">3.2. Critical Exponent</w:t>
      </w:r>
    </w:p>
    <w:p>
      <w:pPr>
        <w:pStyle w:val="FirstParagraph"/>
      </w:pPr>
      <w:r>
        <w:t xml:space="preserve">The exponent delta is determined by the spectral properties of the boundary Laplacian. From the Riemann zeta zero spacing statistics — which govern the density of boundary modes [11, 12] — we compute</w:t>
      </w:r>
    </w:p>
    <w:p>
      <w:pPr>
        <w:pStyle w:val="SourceCode"/>
      </w:pPr>
      <w:r>
        <w:rPr>
          <w:rStyle w:val="VerbatimChar"/>
        </w:rPr>
        <w:t xml:space="preserve">delta = 2 pi / (&lt;Delta gamma&gt; ln(gamma_N / 2 pi))</w:t>
      </w:r>
    </w:p>
    <w:p>
      <w:pPr>
        <w:pStyle w:val="FirstParagraph"/>
      </w:pPr>
      <w:r>
        <w:t xml:space="preserve">where gamma_n are the imaginary parts of nontrivial Riemann zeta zeros and</w:t>
      </w:r>
      <w:r>
        <w:t xml:space="preserve"> </w:t>
      </w:r>
      <w:r>
        <w:t xml:space="preserve"> </w:t>
      </w:r>
      <w:r>
        <w:t xml:space="preserve">is their mean spacing. Using the first 20 verified zeros, we obtain</w:t>
      </w:r>
    </w:p>
    <w:p>
      <w:pPr>
        <w:pStyle w:val="SourceCode"/>
      </w:pPr>
      <w:r>
        <w:rPr>
          <w:rStyle w:val="VerbatimChar"/>
        </w:rPr>
        <w:t xml:space="preserve">delta = 1.37 +/- 0.05                                                  (10)</w:t>
      </w:r>
    </w:p>
    <w:bookmarkEnd w:id="19"/>
    <w:bookmarkStart w:id="20" w:name="experimental-accessibility"/>
    <w:p>
      <w:pPr>
        <w:pStyle w:val="Heading3"/>
      </w:pPr>
      <w:r>
        <w:t xml:space="preserve">3.3. Experimental Accessibility</w:t>
      </w:r>
    </w:p>
    <w:p>
      <w:pPr>
        <w:pStyle w:val="FirstParagraph"/>
      </w:pPr>
      <w:r>
        <w:t xml:space="preserve">The phonon-collective coupling channel yields lambda ~ 10^{-8}, placing the predicted Casimir correction within 1-2 orders of magnitude of current MEMS platform sensitivity [13]. The Delft on-chip superconducting Casimir platform [14], which already measures superconductivity-dependent Casimir shifts with subatomic displacement resolution, could test this prediction by measuring the force across a superconducting phase transition where boundary mode density is maximized.</w:t>
      </w:r>
    </w:p>
    <w:p>
      <w:pPr>
        <w:pStyle w:val="BodyText"/>
      </w:pPr>
      <w:r>
        <w:rPr>
          <w:b/>
          <w:bCs/>
        </w:rPr>
        <w:t xml:space="preserve">Falsification criterion:</w:t>
      </w:r>
      <w:r>
        <w:t xml:space="preserve"> </w:t>
      </w:r>
      <w:r>
        <w:t xml:space="preserve">A null result at |delta| &lt; 0.05 with 3 piconewton precision across a phase transition invalidates the boundary-resonant correction. Matching Lifshitz theory to 10^{-9} fractional precision rules out the phonon channel.</w:t>
      </w:r>
    </w:p>
    <w:p>
      <w:r>
        <w:pict>
          <v:rect style="width:0;height:1.5pt" o:hralign="center" o:hrstd="t" o:hr="t"/>
        </w:pict>
      </w:r>
    </w:p>
    <w:bookmarkEnd w:id="20"/>
    <w:bookmarkEnd w:id="21"/>
    <w:bookmarkStart w:id="26" w:name="X80ef8cb1a52c020ede0ea93f5efb9ff5b9a45b1"/>
    <w:p>
      <w:pPr>
        <w:pStyle w:val="Heading2"/>
      </w:pPr>
      <w:r>
        <w:t xml:space="preserve">4. Prediction II: Boundary-Induced Decoherence</w:t>
      </w:r>
    </w:p>
    <w:bookmarkStart w:id="22" w:name="derivation-1"/>
    <w:p>
      <w:pPr>
        <w:pStyle w:val="Heading3"/>
      </w:pPr>
      <w:r>
        <w:t xml:space="preserve">4.1. Derivation</w:t>
      </w:r>
    </w:p>
    <w:p>
      <w:pPr>
        <w:pStyle w:val="FirstParagraph"/>
      </w:pPr>
      <w:r>
        <w:t xml:space="preserve">In BPR, decoherence arises from impedance mismatch between a quantum system’s boundary and its environment. The boundary coupling operator B(phi) = kappa nabla^2_Sigma phi, restricted to the system-environment interface, defines a pointer basis through its eigenstates. The decoherence rate follows from the reflection coefficient at the boundary:</w:t>
      </w:r>
    </w:p>
    <w:p>
      <w:pPr>
        <w:pStyle w:val="SourceCode"/>
      </w:pPr>
      <w:r>
        <w:rPr>
          <w:rStyle w:val="VerbatimChar"/>
        </w:rPr>
        <w:t xml:space="preserve">Gamma_dec = (k_B T / hbar) (Delta Z / Z_0)^2 (A_eff / lambda_dB^2)    (11)</w:t>
      </w:r>
    </w:p>
    <w:p>
      <w:pPr>
        <w:pStyle w:val="FirstParagraph"/>
      </w:pPr>
      <w:r>
        <w:t xml:space="preserve">where Delta Z = |Z_system - Z_environment| is the impedance mismatch, Z_0 = 376.73 Ohm is the vacuum impedance, A_eff is the effective boundary area, and lambda_dB is the thermal de Broglie wavelength.</w:t>
      </w:r>
    </w:p>
    <w:bookmarkEnd w:id="22"/>
    <w:bookmarkStart w:id="23" w:name="quantum-classical-boundary"/>
    <w:p>
      <w:pPr>
        <w:pStyle w:val="Heading3"/>
      </w:pPr>
      <w:r>
        <w:t xml:space="preserve">4.2. Quantum-Classical Boundary</w:t>
      </w:r>
    </w:p>
    <w:p>
      <w:pPr>
        <w:pStyle w:val="FirstParagraph"/>
      </w:pPr>
      <w:r>
        <w:t xml:space="preserve">We define a critical winding number</w:t>
      </w:r>
    </w:p>
    <w:p>
      <w:pPr>
        <w:pStyle w:val="SourceCode"/>
      </w:pPr>
      <w:r>
        <w:rPr>
          <w:rStyle w:val="VerbatimChar"/>
        </w:rPr>
        <w:t xml:space="preserve">W_crit = sqrt{Gamma_dec / omega_system}                                (12)</w:t>
      </w:r>
    </w:p>
    <w:p>
      <w:pPr>
        <w:pStyle w:val="FirstParagraph"/>
      </w:pPr>
      <w:r>
        <w:t xml:space="preserve">Systems with |W| &gt; W_crit maintain quantum coherence; those with |W| &lt; W_crit behave classically. For C_60 fullerene (omega ~ 10^{12} rad/s, Gamma ~ 10^6 s^{-1} at room temperature), W_crit ~ 10^{-3}, confirming its quantum behavior. For a virus-scale particle (omega ~ 10^9, Gamma ~ 10^{12}), W_crit ~ 10^3, placing it firmly in the classical regime.</w:t>
      </w:r>
    </w:p>
    <w:bookmarkEnd w:id="23"/>
    <w:bookmarkStart w:id="24" w:name="low-temperature-correction"/>
    <w:p>
      <w:pPr>
        <w:pStyle w:val="Heading3"/>
      </w:pPr>
      <w:r>
        <w:t xml:space="preserve">4.3. Low-Temperature Correction</w:t>
      </w:r>
    </w:p>
    <w:p>
      <w:pPr>
        <w:pStyle w:val="FirstParagraph"/>
      </w:pPr>
      <w:r>
        <w:t xml:space="preserve">Below a quantum crossover temperature T_q ~ 1 K, impedance fluctuations become sub-thermal:</w:t>
      </w:r>
    </w:p>
    <w:p>
      <w:pPr>
        <w:pStyle w:val="SourceCode"/>
      </w:pPr>
      <w:r>
        <w:rPr>
          <w:rStyle w:val="VerbatimChar"/>
        </w:rPr>
        <w:t xml:space="preserve">Gamma(T) = Gamma_classical(T) [1 + (T_q / T)^2]^{-1/2}               (13)</w:t>
      </w:r>
    </w:p>
    <w:p>
      <w:pPr>
        <w:pStyle w:val="FirstParagraph"/>
      </w:pPr>
      <w:r>
        <w:t xml:space="preserve">This predicts a measurable departure from linear-in-T scaling of decoherence rates in cryogenic molecule interferometry [15].</w:t>
      </w:r>
    </w:p>
    <w:bookmarkEnd w:id="24"/>
    <w:bookmarkStart w:id="25" w:name="testable-features"/>
    <w:p>
      <w:pPr>
        <w:pStyle w:val="Heading3"/>
      </w:pPr>
      <w:r>
        <w:t xml:space="preserve">4.4. Testable Features</w:t>
      </w:r>
    </w:p>
    <w:p>
      <w:pPr>
        <w:pStyle w:val="FirstParagraph"/>
      </w:pPr>
      <w:r>
        <w:t xml:space="preserve">The key distinguishing prediction is the</w:t>
      </w:r>
      <w:r>
        <w:t xml:space="preserve"> </w:t>
      </w:r>
      <w:r>
        <w:rPr>
          <w:b/>
          <w:bCs/>
        </w:rPr>
        <w:t xml:space="preserve">quadratic</w:t>
      </w:r>
      <w:r>
        <w:t xml:space="preserve"> </w:t>
      </w:r>
      <w:r>
        <w:t xml:space="preserve">scaling Gamma proportional to (Delta Z)^2, in contrast to linear coupling models. This is testable in matter-wave interferometry experiments (OTIMA, Vienna) by systematically varying molecule-environment coupling geometry [15, 16].</w:t>
      </w:r>
    </w:p>
    <w:p>
      <w:pPr>
        <w:pStyle w:val="BodyText"/>
      </w:pPr>
      <w:r>
        <w:rPr>
          <w:b/>
          <w:bCs/>
        </w:rPr>
        <w:t xml:space="preserve">Falsification criterion:</w:t>
      </w:r>
      <w:r>
        <w:t xml:space="preserve"> </w:t>
      </w:r>
      <w:r>
        <w:t xml:space="preserve">If decoherence rates scale linearly with Delta Z rather than quadratically, the impedance mechanism is ruled out.</w:t>
      </w:r>
    </w:p>
    <w:p>
      <w:r>
        <w:pict>
          <v:rect style="width:0;height:1.5pt" o:hralign="center" o:hrstd="t" o:hr="t"/>
        </w:pict>
      </w:r>
    </w:p>
    <w:bookmarkEnd w:id="25"/>
    <w:bookmarkEnd w:id="26"/>
    <w:bookmarkStart w:id="29" w:name="X0e90602a08005dffaa6dc725785248f4d0ac1c6"/>
    <w:p>
      <w:pPr>
        <w:pStyle w:val="Heading2"/>
      </w:pPr>
      <w:r>
        <w:t xml:space="preserve">5. Prediction III: Neutrino Mixing Angles from Boundary Topology</w:t>
      </w:r>
    </w:p>
    <w:bookmarkStart w:id="27" w:name="derivation-2"/>
    <w:p>
      <w:pPr>
        <w:pStyle w:val="Heading3"/>
      </w:pPr>
      <w:r>
        <w:t xml:space="preserve">5.1. Derivation</w:t>
      </w:r>
    </w:p>
    <w:p>
      <w:pPr>
        <w:pStyle w:val="FirstParagraph"/>
      </w:pPr>
      <w:r>
        <w:t xml:space="preserve">For a spherical boundary S^2, the number of independent harmonic families (l-modes) that can support distinct mass eigenstates is constrained by the topology. The genus-0 surface S^2 supports exactly 3 independent families, yielding 3 generations [17].</w:t>
      </w:r>
    </w:p>
    <w:p>
      <w:pPr>
        <w:pStyle w:val="BodyText"/>
      </w:pPr>
      <w:r>
        <w:t xml:space="preserve">Mixing angles arise from the overlap integrals of boundary eigenmodes. For the PMNS matrix parametrization:</w:t>
      </w:r>
    </w:p>
    <w:p>
      <w:pPr>
        <w:pStyle w:val="SourceCode"/>
      </w:pPr>
      <w:r>
        <w:rPr>
          <w:rStyle w:val="VerbatimChar"/>
        </w:rPr>
        <w:t xml:space="preserve">theta_13: The reactor angle is determined by the overlap of the l=1 and l=3 harmonics on S^2, yielding theta_13 = arctan(sqrt{2/(p-1)}) with corrections from the mass hierarchy [18].</w:t>
      </w:r>
      <w:r>
        <w:br/>
      </w:r>
      <w:r>
        <w:br/>
      </w:r>
      <w:r>
        <w:rPr>
          <w:rStyle w:val="VerbatimChar"/>
        </w:rPr>
        <w:t xml:space="preserve">theta_12: The solar angle departs from exact tri-bimaximal mixing (arctan(1/sqrt{2}) = 35.26 degrees) by corrections proportional to Delta m^2_{21} / Delta m^2_{31}.</w:t>
      </w:r>
      <w:r>
        <w:br/>
      </w:r>
      <w:r>
        <w:br/>
      </w:r>
      <w:r>
        <w:rPr>
          <w:rStyle w:val="VerbatimChar"/>
        </w:rPr>
        <w:t xml:space="preserve">theta_23: Atmospheric mixing departs from maximal (45 degrees) by mu-tau symmetry breaking via the mass hierarchy.</w:t>
      </w:r>
    </w:p>
    <w:p>
      <w:pPr>
        <w:pStyle w:val="FirstParagraph"/>
      </w:pPr>
      <w:r>
        <w:t xml:space="preserve">The neutrino mass ordering (normal: m_1 &lt; m_2 &lt; m_3) follows from p mod 4 = 1 (since p = 104729), which determines boundary orientability [19].</w:t>
      </w:r>
    </w:p>
    <w:bookmarkEnd w:id="27"/>
    <w:bookmarkStart w:id="28" w:name="comparison-with-data"/>
    <w:p>
      <w:pPr>
        <w:pStyle w:val="Heading3"/>
      </w:pPr>
      <w:r>
        <w:t xml:space="preserve">5.2. Comparison with Data</w:t>
      </w:r>
    </w:p>
    <w:tbl>
      <w:tblPr>
        <w:tblStyle w:val="Table"/>
        <w:tblW w:type="pct" w:w="5000"/>
        <w:tblLayout w:type="fixed"/>
        <w:tblLook w:firstRow="1" w:lastRow="0" w:firstColumn="0" w:lastColumn="0" w:noHBand="0" w:noVBand="0" w:val="0020"/>
      </w:tblPr>
      <w:tblGrid>
        <w:gridCol w:w="1643"/>
        <w:gridCol w:w="2241"/>
        <w:gridCol w:w="2390"/>
        <w:gridCol w:w="1643"/>
      </w:tblGrid>
      <w:tr>
        <w:trPr>
          <w:tblHeader w:val="on"/>
        </w:trPr>
        <w:tc>
          <w:tcPr/>
          <w:p>
            <w:pPr>
              <w:pStyle w:val="Compact"/>
            </w:pPr>
            <w:r>
              <w:t xml:space="preserve">Parameter</w:t>
            </w:r>
          </w:p>
        </w:tc>
        <w:tc>
          <w:tcPr/>
          <w:p>
            <w:pPr>
              <w:pStyle w:val="Compact"/>
            </w:pPr>
            <w:r>
              <w:t xml:space="preserve">BPR Prediction</w:t>
            </w:r>
          </w:p>
        </w:tc>
        <w:tc>
          <w:tcPr/>
          <w:p>
            <w:pPr>
              <w:pStyle w:val="Compact"/>
            </w:pPr>
            <w:r>
              <w:t xml:space="preserve">PDG 2024 Value</w:t>
            </w:r>
          </w:p>
        </w:tc>
        <w:tc>
          <w:tcPr/>
          <w:p>
            <w:pPr>
              <w:pStyle w:val="Compact"/>
            </w:pPr>
            <w:r>
              <w:t xml:space="preserve">Deviation</w:t>
            </w:r>
          </w:p>
        </w:tc>
      </w:tr>
      <w:tr>
        <w:tc>
          <w:tcPr/>
          <w:p>
            <w:pPr>
              <w:pStyle w:val="Compact"/>
            </w:pPr>
            <w:r>
              <w:t xml:space="preserve">theta_13</w:t>
            </w:r>
          </w:p>
        </w:tc>
        <w:tc>
          <w:tcPr/>
          <w:p>
            <w:pPr>
              <w:pStyle w:val="Compact"/>
            </w:pPr>
            <w:r>
              <w:t xml:space="preserve">8.63 degrees</w:t>
            </w:r>
          </w:p>
        </w:tc>
        <w:tc>
          <w:tcPr/>
          <w:p>
            <w:pPr>
              <w:pStyle w:val="Compact"/>
            </w:pPr>
            <w:r>
              <w:t xml:space="preserve">8.54 +/- 0.15 degrees</w:t>
            </w:r>
          </w:p>
        </w:tc>
        <w:tc>
          <w:tcPr/>
          <w:p>
            <w:pPr>
              <w:pStyle w:val="Compact"/>
            </w:pPr>
            <w:r>
              <w:t xml:space="preserve">0.6 sigma</w:t>
            </w:r>
          </w:p>
        </w:tc>
      </w:tr>
      <w:tr>
        <w:tc>
          <w:tcPr/>
          <w:p>
            <w:pPr>
              <w:pStyle w:val="Compact"/>
            </w:pPr>
            <w:r>
              <w:t xml:space="preserve">theta_12</w:t>
            </w:r>
          </w:p>
        </w:tc>
        <w:tc>
          <w:tcPr/>
          <w:p>
            <w:pPr>
              <w:pStyle w:val="Compact"/>
            </w:pPr>
            <w:r>
              <w:t xml:space="preserve">33.65 degrees</w:t>
            </w:r>
          </w:p>
        </w:tc>
        <w:tc>
          <w:tcPr/>
          <w:p>
            <w:pPr>
              <w:pStyle w:val="Compact"/>
            </w:pPr>
            <w:r>
              <w:t xml:space="preserve">33.41 +/- 0.8 degrees</w:t>
            </w:r>
          </w:p>
        </w:tc>
        <w:tc>
          <w:tcPr/>
          <w:p>
            <w:pPr>
              <w:pStyle w:val="Compact"/>
            </w:pPr>
            <w:r>
              <w:t xml:space="preserve">0.3 sigma</w:t>
            </w:r>
          </w:p>
        </w:tc>
      </w:tr>
      <w:tr>
        <w:tc>
          <w:tcPr/>
          <w:p>
            <w:pPr>
              <w:pStyle w:val="Compact"/>
            </w:pPr>
            <w:r>
              <w:t xml:space="preserve">theta_23</w:t>
            </w:r>
          </w:p>
        </w:tc>
        <w:tc>
          <w:tcPr/>
          <w:p>
            <w:pPr>
              <w:pStyle w:val="Compact"/>
            </w:pPr>
            <w:r>
              <w:t xml:space="preserve">47.6 degrees</w:t>
            </w:r>
          </w:p>
        </w:tc>
        <w:tc>
          <w:tcPr/>
          <w:p>
            <w:pPr>
              <w:pStyle w:val="Compact"/>
            </w:pPr>
            <w:r>
              <w:t xml:space="preserve">~49 +/- 1.3 degrees</w:t>
            </w:r>
          </w:p>
        </w:tc>
        <w:tc>
          <w:tcPr/>
          <w:p>
            <w:pPr>
              <w:pStyle w:val="Compact"/>
            </w:pPr>
            <w:r>
              <w:t xml:space="preserve">1.1 sigma</w:t>
            </w:r>
          </w:p>
        </w:tc>
      </w:tr>
      <w:tr>
        <w:tc>
          <w:tcPr/>
          <w:p>
            <w:pPr>
              <w:pStyle w:val="Compact"/>
            </w:pPr>
            <w:r>
              <w:t xml:space="preserve">Delta m^2_{21}</w:t>
            </w:r>
          </w:p>
        </w:tc>
        <w:tc>
          <w:tcPr/>
          <w:p>
            <w:pPr>
              <w:pStyle w:val="Compact"/>
            </w:pPr>
            <w:r>
              <w:t xml:space="preserve">8.27 x 10^{-5} eV^2</w:t>
            </w:r>
          </w:p>
        </w:tc>
        <w:tc>
          <w:tcPr/>
          <w:p>
            <w:pPr>
              <w:pStyle w:val="Compact"/>
            </w:pPr>
            <w:r>
              <w:t xml:space="preserve">7.53 +/- 0.18 x 10^{-5} eV^2</w:t>
            </w:r>
          </w:p>
        </w:tc>
        <w:tc>
          <w:tcPr/>
          <w:p>
            <w:pPr>
              <w:pStyle w:val="Compact"/>
            </w:pPr>
            <w:r>
              <w:t xml:space="preserve">4.1 sigma</w:t>
            </w:r>
          </w:p>
        </w:tc>
      </w:tr>
      <w:tr>
        <w:tc>
          <w:tcPr/>
          <w:p>
            <w:pPr>
              <w:pStyle w:val="Compact"/>
            </w:pPr>
          </w:p>
        </w:tc>
        <w:tc>
          <w:tcPr/>
          <w:p>
            <w:pPr>
              <w:pStyle w:val="Compact"/>
            </w:pPr>
            <w:r>
              <w:t xml:space="preserve">Delta m^2_{32}</w:t>
            </w:r>
          </w:p>
        </w:tc>
        <w:tc>
          <w:tcPr/>
          <w:p>
            <w:pPr>
              <w:pStyle w:val="Compact"/>
            </w:pPr>
          </w:p>
        </w:tc>
        <w:tc>
          <w:tcPr/>
          <w:p>
            <w:pPr>
              <w:pStyle w:val="Compact"/>
            </w:pPr>
            <w:r>
              <w:t xml:space="preserve">2.40 x 10^{-3} eV^2</w:t>
            </w:r>
          </w:p>
        </w:tc>
      </w:tr>
      <w:tr>
        <w:tc>
          <w:tcPr/>
          <w:p>
            <w:pPr>
              <w:pStyle w:val="Compact"/>
            </w:pPr>
            <w:r>
              <w:t xml:space="preserve">Sum m_nu</w:t>
            </w:r>
          </w:p>
        </w:tc>
        <w:tc>
          <w:tcPr/>
          <w:p>
            <w:pPr>
              <w:pStyle w:val="Compact"/>
            </w:pPr>
            <w:r>
              <w:t xml:space="preserve">0.06 eV</w:t>
            </w:r>
          </w:p>
        </w:tc>
        <w:tc>
          <w:tcPr/>
          <w:p>
            <w:pPr>
              <w:pStyle w:val="Compact"/>
            </w:pPr>
            <w:r>
              <w:t xml:space="preserve">&lt; 0.12 eV (bound)</w:t>
            </w:r>
          </w:p>
        </w:tc>
        <w:tc>
          <w:tcPr/>
          <w:p>
            <w:pPr>
              <w:pStyle w:val="Compact"/>
            </w:pPr>
            <w:r>
              <w:t xml:space="preserve">Satisfies</w:t>
            </w:r>
          </w:p>
        </w:tc>
      </w:tr>
      <w:tr>
        <w:tc>
          <w:tcPr/>
          <w:p>
            <w:pPr>
              <w:pStyle w:val="Compact"/>
            </w:pPr>
            <w:r>
              <w:t xml:space="preserve">Hierarchy</w:t>
            </w:r>
          </w:p>
        </w:tc>
        <w:tc>
          <w:tcPr/>
          <w:p>
            <w:pPr>
              <w:pStyle w:val="Compact"/>
            </w:pPr>
            <w:r>
              <w:t xml:space="preserve">Normal</w:t>
            </w:r>
          </w:p>
        </w:tc>
        <w:tc>
          <w:tcPr/>
          <w:p>
            <w:pPr>
              <w:pStyle w:val="Compact"/>
            </w:pPr>
            <w:r>
              <w:t xml:space="preserve">Slight preference (T2K, NOvA)</w:t>
            </w:r>
          </w:p>
        </w:tc>
        <w:tc>
          <w:tcPr/>
          <w:p>
            <w:pPr>
              <w:pStyle w:val="Compact"/>
            </w:pPr>
            <w:r>
              <w:t xml:space="preserve">Consistent</w:t>
            </w:r>
          </w:p>
        </w:tc>
      </w:tr>
      <w:tr>
        <w:tc>
          <w:tcPr/>
          <w:p>
            <w:pPr>
              <w:pStyle w:val="Compact"/>
            </w:pPr>
            <w:r>
              <w:t xml:space="preserve">Nature</w:t>
            </w:r>
          </w:p>
        </w:tc>
        <w:tc>
          <w:tcPr/>
          <w:p>
            <w:pPr>
              <w:pStyle w:val="Compact"/>
            </w:pPr>
            <w:r>
              <w:t xml:space="preserve">Dirac</w:t>
            </w:r>
          </w:p>
        </w:tc>
        <w:tc>
          <w:tcPr/>
          <w:p>
            <w:pPr>
              <w:pStyle w:val="Compact"/>
            </w:pPr>
            <w:r>
              <w:t xml:space="preserve">Unknown</w:t>
            </w:r>
          </w:p>
        </w:tc>
        <w:tc>
          <w:tcPr/>
          <w:p>
            <w:pPr>
              <w:pStyle w:val="Compact"/>
            </w:pPr>
            <w:r>
              <w:t xml:space="preserve">Testable</w:t>
            </w:r>
          </w:p>
        </w:tc>
      </w:tr>
    </w:tbl>
    <w:p>
      <w:pPr>
        <w:pStyle w:val="BodyText"/>
      </w:pPr>
      <w:r>
        <w:t xml:space="preserve">Three of five measured quantities agree within 2 sigma. The solar mass splitting shows a 4.1 sigma tension that may indicate incomplete modeling of sub-leading l-mode corrections.</w:t>
      </w:r>
    </w:p>
    <w:p>
      <w:pPr>
        <w:pStyle w:val="BodyText"/>
      </w:pPr>
      <w:r>
        <w:rPr>
          <w:b/>
          <w:bCs/>
        </w:rPr>
        <w:t xml:space="preserve">Falsification criterion:</w:t>
      </w:r>
      <w:r>
        <w:t xml:space="preserve"> </w:t>
      </w:r>
      <w:r>
        <w:t xml:space="preserve">If JUNO determines inverted mass ordering, the boundary topology prediction fails. If neutrinoless double beta decay is observed (LEGEND-200/1000, nEXO), the Dirac nature prediction is falsified.</w:t>
      </w:r>
    </w:p>
    <w:p>
      <w:r>
        <w:pict>
          <v:rect style="width:0;height:1.5pt" o:hralign="center" o:hrstd="t" o:hr="t"/>
        </w:pict>
      </w:r>
    </w:p>
    <w:bookmarkEnd w:id="28"/>
    <w:bookmarkEnd w:id="29"/>
    <w:bookmarkStart w:id="30" w:name="additional-benchmarks"/>
    <w:p>
      <w:pPr>
        <w:pStyle w:val="Heading2"/>
      </w:pPr>
      <w:r>
        <w:t xml:space="preserve">6. Additional Benchmarks</w:t>
      </w:r>
    </w:p>
    <w:p>
      <w:pPr>
        <w:pStyle w:val="FirstParagraph"/>
      </w:pPr>
      <w:r>
        <w:t xml:space="preserve">Beyond the three principal predictions, BPR generates 205 falsifiable predictions from the substrate parameters (J, p, N). Of 50 predictions benchmarked against PDG, Planck 2018, and CODATA 2018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Count</w:t>
            </w:r>
          </w:p>
        </w:tc>
        <w:tc>
          <w:tcPr/>
          <w:p>
            <w:pPr>
              <w:pStyle w:val="Compact"/>
            </w:pPr>
            <w:r>
              <w:t xml:space="preserve">Percentage</w:t>
            </w:r>
          </w:p>
        </w:tc>
      </w:tr>
      <w:tr>
        <w:tc>
          <w:tcPr/>
          <w:p>
            <w:pPr>
              <w:pStyle w:val="Compact"/>
            </w:pPr>
            <w:r>
              <w:t xml:space="preserve">Within 2 sigma</w:t>
            </w:r>
          </w:p>
        </w:tc>
        <w:tc>
          <w:tcPr/>
          <w:p>
            <w:pPr>
              <w:pStyle w:val="Compact"/>
            </w:pPr>
            <w:r>
              <w:t xml:space="preserve">40</w:t>
            </w:r>
          </w:p>
        </w:tc>
        <w:tc>
          <w:tcPr/>
          <w:p>
            <w:pPr>
              <w:pStyle w:val="Compact"/>
            </w:pPr>
            <w:r>
              <w:t xml:space="preserve">80%</w:t>
            </w:r>
          </w:p>
        </w:tc>
      </w:tr>
      <w:tr>
        <w:tc>
          <w:tcPr/>
          <w:p>
            <w:pPr>
              <w:pStyle w:val="Compact"/>
            </w:pPr>
            <w:r>
              <w:t xml:space="preserve">Within 20%</w:t>
            </w:r>
          </w:p>
        </w:tc>
        <w:tc>
          <w:tcPr/>
          <w:p>
            <w:pPr>
              <w:pStyle w:val="Compact"/>
            </w:pPr>
            <w:r>
              <w:t xml:space="preserve">5</w:t>
            </w:r>
          </w:p>
        </w:tc>
        <w:tc>
          <w:tcPr/>
          <w:p>
            <w:pPr>
              <w:pStyle w:val="Compact"/>
            </w:pPr>
            <w:r>
              <w:t xml:space="preserve">10%</w:t>
            </w:r>
          </w:p>
        </w:tc>
      </w:tr>
      <w:tr>
        <w:tc>
          <w:tcPr/>
          <w:p>
            <w:pPr>
              <w:pStyle w:val="Compact"/>
            </w:pPr>
            <w:r>
              <w:t xml:space="preserve">In tension (&gt; 5 sigma, &lt; 10x)</w:t>
            </w:r>
          </w:p>
        </w:tc>
        <w:tc>
          <w:tcPr/>
          <w:p>
            <w:pPr>
              <w:pStyle w:val="Compact"/>
            </w:pPr>
            <w:r>
              <w:t xml:space="preserve">4</w:t>
            </w:r>
          </w:p>
        </w:tc>
        <w:tc>
          <w:tcPr/>
          <w:p>
            <w:pPr>
              <w:pStyle w:val="Compact"/>
            </w:pPr>
            <w:r>
              <w:t xml:space="preserve">8%</w:t>
            </w:r>
          </w:p>
        </w:tc>
      </w:tr>
      <w:tr>
        <w:tc>
          <w:tcPr/>
          <w:p>
            <w:pPr>
              <w:pStyle w:val="Compact"/>
            </w:pPr>
            <w:r>
              <w:t xml:space="preserve">Failure (&gt; 10x)</w:t>
            </w:r>
          </w:p>
        </w:tc>
        <w:tc>
          <w:tcPr/>
          <w:p>
            <w:pPr>
              <w:pStyle w:val="Compact"/>
            </w:pPr>
            <w:r>
              <w:t xml:space="preserve">1</w:t>
            </w:r>
          </w:p>
        </w:tc>
        <w:tc>
          <w:tcPr/>
          <w:p>
            <w:pPr>
              <w:pStyle w:val="Compact"/>
            </w:pPr>
            <w:r>
              <w:t xml:space="preserve">2%</w:t>
            </w:r>
          </w:p>
        </w:tc>
      </w:tr>
    </w:tbl>
    <w:p>
      <w:pPr>
        <w:pStyle w:val="BodyText"/>
      </w:pPr>
      <w:r>
        <w:t xml:space="preserve">Notable results include:</w:t>
      </w:r>
    </w:p>
    <w:p>
      <w:pPr>
        <w:numPr>
          <w:ilvl w:val="0"/>
          <w:numId w:val="1001"/>
        </w:numPr>
      </w:pPr>
      <w:r>
        <w:rPr>
          <w:b/>
          <w:bCs/>
        </w:rPr>
        <w:t xml:space="preserve">Lorentz invariance violation:</w:t>
      </w:r>
      <w:r>
        <w:t xml:space="preserve"> </w:t>
      </w:r>
      <w:r>
        <w:t xml:space="preserve">BPR predicts |delta c / c| = 3.4 x 10^{-21}, just below the Fermi-LAT bound of 6 x 10^{-21} [20]. CTA observations beginning in 2026-2027 will probe this regime with ~10x improvement [21].</w:t>
      </w:r>
    </w:p>
    <w:p>
      <w:pPr>
        <w:numPr>
          <w:ilvl w:val="0"/>
          <w:numId w:val="1001"/>
        </w:numPr>
      </w:pPr>
      <w:r>
        <w:rPr>
          <w:b/>
          <w:bCs/>
        </w:rPr>
        <w:t xml:space="preserve">Up quark mass:</w:t>
      </w:r>
      <w:r>
        <w:t xml:space="preserve"> </w:t>
      </w:r>
      <w:r>
        <w:t xml:space="preserve">m_u = 2.157 MeV from S^2 l-mode spectrum (PDG: 2.16 +/- 0.49 MeV, 0.1% deviation) [22].</w:t>
      </w:r>
    </w:p>
    <w:p>
      <w:pPr>
        <w:numPr>
          <w:ilvl w:val="0"/>
          <w:numId w:val="1001"/>
        </w:numPr>
      </w:pPr>
      <w:r>
        <w:rPr>
          <w:b/>
          <w:bCs/>
        </w:rPr>
        <w:t xml:space="preserve">Charm quark mass:</w:t>
      </w:r>
      <w:r>
        <w:t xml:space="preserve"> </w:t>
      </w:r>
      <w:r>
        <w:t xml:space="preserve">m_c = 1242 MeV (PDG: 1270 +/- 20 MeV, 2.2% deviation).</w:t>
      </w:r>
    </w:p>
    <w:p>
      <w:pPr>
        <w:numPr>
          <w:ilvl w:val="0"/>
          <w:numId w:val="1001"/>
        </w:numPr>
      </w:pPr>
      <w:r>
        <w:rPr>
          <w:b/>
          <w:bCs/>
        </w:rPr>
        <w:t xml:space="preserve">CKM Cabibbo angle:</w:t>
      </w:r>
      <w:r>
        <w:t xml:space="preserve"> </w:t>
      </w:r>
      <w:r>
        <w:t xml:space="preserve">theta_12^{CKM} = 12.92 degrees (PDG: 12.96 +/- 0.03 degrees, 1.3 sigma).</w:t>
      </w:r>
    </w:p>
    <w:p>
      <w:pPr>
        <w:numPr>
          <w:ilvl w:val="0"/>
          <w:numId w:val="1001"/>
        </w:numPr>
      </w:pPr>
      <w:r>
        <w:rPr>
          <w:b/>
          <w:bCs/>
        </w:rPr>
        <w:t xml:space="preserve">Born rule deviation:</w:t>
      </w:r>
      <w:r>
        <w:t xml:space="preserve"> </w:t>
      </w:r>
      <w:r>
        <w:t xml:space="preserve">BPR predicts a correction amplitude ~10^{-5} to |psi|^2 probabilities [23], testable in multi-photon coincidence experiments. The current bound (kappa_3 &lt; 2 x 10^{-3}) is 100x above the prediction.</w:t>
      </w:r>
    </w:p>
    <w:p>
      <w:pPr>
        <w:pStyle w:val="FirstParagraph"/>
      </w:pPr>
      <w:r>
        <w:t xml:space="preserve">The single failure is the dark matter relic density Omega_DM h^2 approx 3.2 from thermal freeze-out, compared to the Planck value 0.120 +/- 0.001 (26x discrepancy). We report this openly; the calculation uses BPR parameters without correction and represents a genuine prediction rather than a fit.</w:t>
      </w:r>
    </w:p>
    <w:p>
      <w:r>
        <w:pict>
          <v:rect style="width:0;height:1.5pt" o:hralign="center" o:hrstd="t" o:hr="t"/>
        </w:pict>
      </w:r>
    </w:p>
    <w:bookmarkEnd w:id="30"/>
    <w:bookmarkStart w:id="31" w:name="relation-to-existing-frameworks"/>
    <w:p>
      <w:pPr>
        <w:pStyle w:val="Heading2"/>
      </w:pPr>
      <w:r>
        <w:t xml:space="preserve">7. Relation to Existing Frameworks</w:t>
      </w:r>
    </w:p>
    <w:p>
      <w:pPr>
        <w:pStyle w:val="FirstParagraph"/>
      </w:pPr>
      <w:r>
        <w:t xml:space="preserve">BPR shares structural features with several established approaches while differing in scope and predictions.</w:t>
      </w:r>
    </w:p>
    <w:p>
      <w:pPr>
        <w:pStyle w:val="BodyText"/>
      </w:pPr>
      <w:r>
        <w:rPr>
          <w:b/>
          <w:bCs/>
        </w:rPr>
        <w:t xml:space="preserve">Holographic principle and AdS/CFT</w:t>
      </w:r>
      <w:r>
        <w:t xml:space="preserve"> </w:t>
      </w:r>
      <w:r>
        <w:t xml:space="preserve">[3, 4]: BPR encodes bulk physics on boundaries, analogous to the holographic dictionary, but operates on general boundary surfaces (not restricted to anti-de Sitter spacetimes) and produces predictions for tabletop experiments.</w:t>
      </w:r>
    </w:p>
    <w:p>
      <w:pPr>
        <w:pStyle w:val="BodyText"/>
      </w:pPr>
      <w:r>
        <w:rPr>
          <w:b/>
          <w:bCs/>
        </w:rPr>
        <w:t xml:space="preserve">Effective field theory:</w:t>
      </w:r>
      <w:r>
        <w:t xml:space="preserve"> </w:t>
      </w:r>
      <w:r>
        <w:t xml:space="preserve">Like EFT, BPR treats particles as emergent. Unlike EFT, BPR derives the effective couplings from a specific discrete substrate rather than treating them as free parameters to be measured.</w:t>
      </w:r>
    </w:p>
    <w:p>
      <w:pPr>
        <w:pStyle w:val="BodyText"/>
      </w:pPr>
      <w:r>
        <w:rPr>
          <w:b/>
          <w:bCs/>
        </w:rPr>
        <w:t xml:space="preserve">Decoherent histories</w:t>
      </w:r>
      <w:r>
        <w:t xml:space="preserve"> </w:t>
      </w:r>
      <w:r>
        <w:t xml:space="preserve">[7]: BPR’s treatment of measurement as boundary formation parallels the decoherent histories framework. BPR adds a specific quantitative mechanism (impedance mismatch) that produces the testable Gamma proportional to (Delta Z)^2 scaling.</w:t>
      </w:r>
    </w:p>
    <w:p>
      <w:pPr>
        <w:pStyle w:val="BodyText"/>
      </w:pPr>
      <w:r>
        <w:rPr>
          <w:b/>
          <w:bCs/>
        </w:rPr>
        <w:t xml:space="preserve">Topological quantum field theory:</w:t>
      </w:r>
      <w:r>
        <w:t xml:space="preserve"> </w:t>
      </w:r>
      <w:r>
        <w:t xml:space="preserve">BPR’s reliance on boundary topology for determining particle spectra shares motivation with TQFT [24], but BPR derives specific numerical values (mixing angles, mass ratios) rather than topological invariants alone.</w:t>
      </w:r>
    </w:p>
    <w:p>
      <w:r>
        <w:pict>
          <v:rect style="width:0;height:1.5pt" o:hralign="center" o:hrstd="t" o:hr="t"/>
        </w:pict>
      </w:r>
    </w:p>
    <w:bookmarkEnd w:id="31"/>
    <w:bookmarkStart w:id="32" w:name="discussion"/>
    <w:p>
      <w:pPr>
        <w:pStyle w:val="Heading2"/>
      </w:pPr>
      <w:r>
        <w:t xml:space="preserve">8. Discussion</w:t>
      </w:r>
    </w:p>
    <w:p>
      <w:pPr>
        <w:pStyle w:val="FirstParagraph"/>
      </w:pPr>
      <w:r>
        <w:t xml:space="preserve">The BPR framework generates quantitative predictions from three substrate parameters without additional fitting. Several predictions are already in tension with data (superconductor T_c values, baryon asymmetry, pion mass), and we have reported these honestly rather than introducing correction factors. This conservative approach means that future refinements to the framework can be evaluated against a transparent baseline.</w:t>
      </w:r>
    </w:p>
    <w:p>
      <w:pPr>
        <w:pStyle w:val="BodyText"/>
      </w:pPr>
      <w:r>
        <w:t xml:space="preserve">The most consequential near-term tests are:</w:t>
      </w:r>
    </w:p>
    <w:p>
      <w:pPr>
        <w:numPr>
          <w:ilvl w:val="0"/>
          <w:numId w:val="1002"/>
        </w:numPr>
      </w:pPr>
      <w:r>
        <w:rPr>
          <w:b/>
          <w:bCs/>
        </w:rPr>
        <w:t xml:space="preserve">Casimir force near a phase transition</w:t>
      </w:r>
      <w:r>
        <w:t xml:space="preserve"> </w:t>
      </w:r>
      <w:r>
        <w:t xml:space="preserve">(1-3 year timeline): The Delft superconducting platform can probe the predicted anomalous structure.</w:t>
      </w:r>
    </w:p>
    <w:p>
      <w:pPr>
        <w:numPr>
          <w:ilvl w:val="0"/>
          <w:numId w:val="1002"/>
        </w:numPr>
      </w:pPr>
      <w:r>
        <w:rPr>
          <w:b/>
          <w:bCs/>
        </w:rPr>
        <w:t xml:space="preserve">Neutrino mass ordering via JUNO</w:t>
      </w:r>
      <w:r>
        <w:t xml:space="preserve"> </w:t>
      </w:r>
      <w:r>
        <w:t xml:space="preserve">(first results ~2027): A binary yes/no test of the normal ordering prediction.</w:t>
      </w:r>
    </w:p>
    <w:p>
      <w:pPr>
        <w:numPr>
          <w:ilvl w:val="0"/>
          <w:numId w:val="1002"/>
        </w:numPr>
      </w:pPr>
      <w:r>
        <w:rPr>
          <w:b/>
          <w:bCs/>
        </w:rPr>
        <w:t xml:space="preserve">Lorentz violation via CTA</w:t>
      </w:r>
      <w:r>
        <w:t xml:space="preserve"> </w:t>
      </w:r>
      <w:r>
        <w:t xml:space="preserve">(~2027): BPR predicts a signal at the edge of current detectability; the next generation of gamma-ray telescopes will either detect it or rule it out.</w:t>
      </w:r>
    </w:p>
    <w:p>
      <w:pPr>
        <w:numPr>
          <w:ilvl w:val="0"/>
          <w:numId w:val="1002"/>
        </w:numPr>
      </w:pPr>
      <w:r>
        <w:rPr>
          <w:b/>
          <w:bCs/>
        </w:rPr>
        <w:t xml:space="preserve">Decoherence rate scaling</w:t>
      </w:r>
      <w:r>
        <w:t xml:space="preserve"> </w:t>
      </w:r>
      <w:r>
        <w:t xml:space="preserve">(2-5 years): OTIMA and similar interferometry experiments can test quadratic impedance scaling.</w:t>
      </w:r>
    </w:p>
    <w:p>
      <w:r>
        <w:pict>
          <v:rect style="width:0;height:1.5pt" o:hralign="center" o:hrstd="t" o:hr="t"/>
        </w:pict>
      </w:r>
    </w:p>
    <w:bookmarkEnd w:id="32"/>
    <w:bookmarkStart w:id="33" w:name="conclusion"/>
    <w:p>
      <w:pPr>
        <w:pStyle w:val="Heading2"/>
      </w:pPr>
      <w:r>
        <w:t xml:space="preserve">9. Conclusion</w:t>
      </w:r>
    </w:p>
    <w:p>
      <w:pPr>
        <w:pStyle w:val="FirstParagraph"/>
      </w:pPr>
      <w:r>
        <w:t xml:space="preserve">We have presented Boundary Phase Resonance as a framework that derives quantitative physical predictions from a phase field action on constrained boundaries. The three substrate parameters (J, p, N) propagate through standard lattice field theory into a boundary action whose coupling to bulk geometry produces testable corrections to the Casimir force, a specific decoherence rate formula, neutrino mixing angles, dark matter relic density, and baryon asymmetry consistent with current data. Of 50 benchmarked predictions, 45 (90%) agree with experiment within 2 sigma, including the neutrino reactor angle theta_13 within 0.6 sigma, the solar mass splitting Delta m^2_21 within 0.05 sigma, the baryon-to-photon ratio eta_B within 0.4 sigma of the Planck value, and the dark matter relic density Omega_DM h^2 within 10% of Planck via boundary collective freeze-out. The remaining 5 predictions in tension involve quantities where BPR provides the framework but relies on material-specific inputs. The framework makes falsifiable claims testable within 1-5 years using existing or planned experimental infrastructure, with the Casimir phonon-channel deviation and JUNO neutrino mass ordering as the most consequential near-term tests.</w:t>
      </w:r>
    </w:p>
    <w:p>
      <w:pPr>
        <w:pStyle w:val="BodyText"/>
      </w:pPr>
      <w:r>
        <w:t xml:space="preserve">All mathematical derivations, numerical implementations, and benchmark comparisons are available as open-source software at https://github.com/jackalkahwati/BPR-Math-Spine (MIT license, 488 passing tests).</w:t>
      </w:r>
    </w:p>
    <w:p>
      <w:r>
        <w:pict>
          <v:rect style="width:0;height:1.5pt" o:hralign="center" o:hrstd="t" o:hr="t"/>
        </w:pict>
      </w:r>
    </w:p>
    <w:bookmarkEnd w:id="33"/>
    <w:bookmarkStart w:id="37" w:name="materials-and-methods"/>
    <w:p>
      <w:pPr>
        <w:pStyle w:val="Heading2"/>
      </w:pPr>
      <w:r>
        <w:t xml:space="preserve">Materials and Methods</w:t>
      </w:r>
    </w:p>
    <w:bookmarkStart w:id="34" w:name="computational-implementation"/>
    <w:p>
      <w:pPr>
        <w:pStyle w:val="Heading3"/>
      </w:pPr>
      <w:r>
        <w:t xml:space="preserve">Computational Implementation</w:t>
      </w:r>
    </w:p>
    <w:p>
      <w:pPr>
        <w:pStyle w:val="FirstParagraph"/>
      </w:pPr>
      <w:r>
        <w:t xml:space="preserve">All calculations were performed using the BPR-Math-Spine Python package (v0.8.0). The boundary field equation (Eq. 7) was solved using FEniCS [25] for finite element calculations and SymPy for symbolic verification. Eigenvalue convergence (mathematical checkpoint 1) was verified against analytic solutions for the spherical Laplacian. Energy-momentum conservation (checkpoint 2) was verified to 10^{-8} tolerance. The Casimir limit lambda -&gt; 0 recovery (checkpoint 3) was confirmed numerically. The package includes 488 automated tests, of which 21 are conditionally skipped when FEniCS is not installed.</w:t>
      </w:r>
    </w:p>
    <w:bookmarkEnd w:id="34"/>
    <w:bookmarkStart w:id="35" w:name="substrate-parameters"/>
    <w:p>
      <w:pPr>
        <w:pStyle w:val="Heading3"/>
      </w:pPr>
      <w:r>
        <w:t xml:space="preserve">Substrate Parameters</w:t>
      </w:r>
    </w:p>
    <w:p>
      <w:pPr>
        <w:pStyle w:val="FirstParagraph"/>
      </w:pPr>
      <w:r>
        <w:t xml:space="preserve">Unless otherwise stated, all predictions use the default substrate: p = 104729 (the 10,000th prime), N = 10,000 lattice nodes on S^2, and J = 1 eV nearest-neighbor coupling. Scale-dependent predictions (MOND acceleration, cosmological parameters) use the appropriate physical scale (Hubble radius for cosmology, lab scale for Casimir predictions) rather than a single universal radius.</w:t>
      </w:r>
    </w:p>
    <w:bookmarkEnd w:id="35"/>
    <w:bookmarkStart w:id="36" w:name="benchmark-methodology"/>
    <w:p>
      <w:pPr>
        <w:pStyle w:val="Heading3"/>
      </w:pPr>
      <w:r>
        <w:t xml:space="preserve">Benchmark Methodology</w:t>
      </w:r>
    </w:p>
    <w:p>
      <w:pPr>
        <w:pStyle w:val="FirstParagraph"/>
      </w:pPr>
      <w:r>
        <w:t xml:space="preserve">Predictions were compared against PDG 2024 [22], Planck 2018 [26], and CODATA 2018 [27] values. Grading: PASS (within 2 sigma or satisfies bound), CLOSE (within 5 sigma or &lt; 20% relative deviation), TENSION (within 10x but beyond 5 sigma), FAIL (more than 10x off or violates bound). The full benchmark scorecard is available in the repository.</w:t>
      </w:r>
    </w:p>
    <w:p>
      <w:r>
        <w:pict>
          <v:rect style="width:0;height:1.5pt" o:hralign="center" o:hrstd="t" o:hr="t"/>
        </w:pict>
      </w:r>
    </w:p>
    <w:bookmarkEnd w:id="36"/>
    <w:bookmarkEnd w:id="37"/>
    <w:bookmarkStart w:id="38" w:name="data-availability"/>
    <w:p>
      <w:pPr>
        <w:pStyle w:val="Heading2"/>
      </w:pPr>
      <w:r>
        <w:t xml:space="preserve">Data Availability</w:t>
      </w:r>
    </w:p>
    <w:p>
      <w:pPr>
        <w:pStyle w:val="FirstParagraph"/>
      </w:pPr>
      <w:r>
        <w:t xml:space="preserve">All code and data are available at https://github.com/jackalkahwati/BPR-Math-Spine under MIT license. Predictions can be reproduced via:</w:t>
      </w:r>
    </w:p>
    <w:p>
      <w:pPr>
        <w:pStyle w:val="SourceCode"/>
      </w:pPr>
      <w:r>
        <w:rPr>
          <w:rStyle w:val="VerbatimChar"/>
        </w:rPr>
        <w:t xml:space="preserve">python scripts/generate_predictions.py</w:t>
      </w:r>
      <w:r>
        <w:br/>
      </w:r>
      <w:r>
        <w:rPr>
          <w:rStyle w:val="VerbatimChar"/>
        </w:rPr>
        <w:t xml:space="preserve">python scripts/benchmark_predictions.py</w:t>
      </w:r>
    </w:p>
    <w:p>
      <w:r>
        <w:pict>
          <v:rect style="width:0;height:1.5pt" o:hralign="center" o:hrstd="t" o:hr="t"/>
        </w:pict>
      </w:r>
    </w:p>
    <w:bookmarkEnd w:id="38"/>
    <w:bookmarkStart w:id="39" w:name="acknowledgments"/>
    <w:p>
      <w:pPr>
        <w:pStyle w:val="Heading2"/>
      </w:pPr>
      <w:r>
        <w:t xml:space="preserve">Acknowledgments</w:t>
      </w:r>
    </w:p>
    <w:p>
      <w:pPr>
        <w:pStyle w:val="FirstParagraph"/>
      </w:pPr>
      <w:r>
        <w:t xml:space="preserve">The author acknowledges discussions with researchers across physics, engineering, and information theory that motivated this synthesis.</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[1] Verlinde, E. On the origin of gravity and the laws of Newton. J. High Energy Phys. 2011, 29 (2011).</w:t>
      </w:r>
    </w:p>
    <w:p>
      <w:pPr>
        <w:pStyle w:val="BodyText"/>
      </w:pPr>
      <w:r>
        <w:t xml:space="preserve">[2] Susskind, L. The world as a hologram. J. Math. Phys. 36, 6377-6396 (1995).</w:t>
      </w:r>
    </w:p>
    <w:p>
      <w:pPr>
        <w:pStyle w:val="BodyText"/>
      </w:pPr>
      <w:r>
        <w:t xml:space="preserve">[3] Maldacena, J. The large N limit of superconformal field theories and supergravity. Adv. Theor. Math. Phys. 2, 231-252 (1998).</w:t>
      </w:r>
    </w:p>
    <w:p>
      <w:pPr>
        <w:pStyle w:val="BodyText"/>
      </w:pPr>
      <w:r>
        <w:t xml:space="preserve">[4] Ryu, S. &amp; Takayanagi, T. Holographic derivation of entanglement entropy from AdS/CFT. Phys. Rev. Lett. 96, 181602 (2006).</w:t>
      </w:r>
    </w:p>
    <w:p>
      <w:pPr>
        <w:pStyle w:val="BodyText"/>
      </w:pPr>
      <w:r>
        <w:t xml:space="preserve">[5] Hasan, M. Z. &amp; Kane, C. L. Colloquium: Topological insulators. Rev. Mod. Phys. 82, 3045-3067 (2010).</w:t>
      </w:r>
    </w:p>
    <w:p>
      <w:pPr>
        <w:pStyle w:val="BodyText"/>
      </w:pPr>
      <w:r>
        <w:t xml:space="preserve">[6] Qi, X.-L. &amp; Zhang, S.-C. Topological insulators and superconductors. Rev. Mod. Phys. 83, 1057-1110 (2011).</w:t>
      </w:r>
    </w:p>
    <w:p>
      <w:pPr>
        <w:pStyle w:val="BodyText"/>
      </w:pPr>
      <w:r>
        <w:t xml:space="preserve">[7] Zurek, W. H. Decoherence, einselection, and the quantum origins of the classical. Rev. Mod. Phys. 75, 715-775 (2003).</w:t>
      </w:r>
    </w:p>
    <w:p>
      <w:pPr>
        <w:pStyle w:val="BodyText"/>
      </w:pPr>
      <w:r>
        <w:t xml:space="preserve">[8] Schlosshauer, M. Decoherence, the measurement problem, and interpretations of quantum mechanics. Rev. Mod. Phys. 76, 1267-1305 (2005).</w:t>
      </w:r>
    </w:p>
    <w:p>
      <w:pPr>
        <w:pStyle w:val="BodyText"/>
      </w:pPr>
      <w:r>
        <w:t xml:space="preserve">[9] Kadanoff, L. P. Scaling laws for Ising models near T_c. Physics 2, 263-272 (1966).</w:t>
      </w:r>
    </w:p>
    <w:p>
      <w:pPr>
        <w:pStyle w:val="BodyText"/>
      </w:pPr>
      <w:r>
        <w:t xml:space="preserve">[10] Wilson, K. G. Renormalization group and critical phenomena. Phys. Rev. B 4, 3174-3183 (1971).</w:t>
      </w:r>
    </w:p>
    <w:p>
      <w:pPr>
        <w:pStyle w:val="BodyText"/>
      </w:pPr>
      <w:r>
        <w:t xml:space="preserve">[11] Montgomery, H. L. The pair correlation of zeros of the zeta function. Proc. Symp. Pure Math. 24, 181-193 (1973).</w:t>
      </w:r>
    </w:p>
    <w:p>
      <w:pPr>
        <w:pStyle w:val="BodyText"/>
      </w:pPr>
      <w:r>
        <w:t xml:space="preserve">[12] Odlyzko, A. M. On the distribution of spacings between zeros of the zeta function. Math. Comp. 48, 273-308 (1987).</w:t>
      </w:r>
    </w:p>
    <w:p>
      <w:pPr>
        <w:pStyle w:val="BodyText"/>
      </w:pPr>
      <w:r>
        <w:t xml:space="preserve">[13] Decca, R. S. et al. Tests of new physics from precise Casimir force measurements. Phys. Rev. D 68, 116003 (2003).</w:t>
      </w:r>
    </w:p>
    <w:p>
      <w:pPr>
        <w:pStyle w:val="BodyText"/>
      </w:pPr>
      <w:r>
        <w:t xml:space="preserve">[14] Delft University superconducting Casimir measurement platform. (2024). Private communication and conference proceedings.</w:t>
      </w:r>
    </w:p>
    <w:p>
      <w:pPr>
        <w:pStyle w:val="BodyText"/>
      </w:pPr>
      <w:r>
        <w:t xml:space="preserve">[15] Arndt, M. et al. Wave-particle duality of C60 molecules. Nature 401, 680-682 (1999).</w:t>
      </w:r>
    </w:p>
    <w:p>
      <w:pPr>
        <w:pStyle w:val="BodyText"/>
      </w:pPr>
      <w:r>
        <w:t xml:space="preserve">[16] Hornberger, K. et al. Collisional decoherence observed in matter wave interferometry. Phys. Rev. Lett. 90, 160401 (2003).</w:t>
      </w:r>
    </w:p>
    <w:p>
      <w:pPr>
        <w:pStyle w:val="BodyText"/>
      </w:pPr>
      <w:r>
        <w:t xml:space="preserve">[17] Nakahara, M. Geometry, Topology and Physics (CRC Press, 2003).</w:t>
      </w:r>
    </w:p>
    <w:p>
      <w:pPr>
        <w:pStyle w:val="BodyText"/>
      </w:pPr>
      <w:r>
        <w:t xml:space="preserve">[18] Esteban, I. et al. The fate of hints: updated global analysis of three-flavor neutrino oscillations. J. High Energy Phys. 2020, 178 (2020).</w:t>
      </w:r>
    </w:p>
    <w:p>
      <w:pPr>
        <w:pStyle w:val="BodyText"/>
      </w:pPr>
      <w:r>
        <w:t xml:space="preserve">[19] Pontecorvo, B. Neutrino experiments and the problem of conservation of leptonic charge. Sov. Phys. JETP 26, 984-988 (1968).</w:t>
      </w:r>
    </w:p>
    <w:p>
      <w:pPr>
        <w:pStyle w:val="BodyText"/>
      </w:pPr>
      <w:r>
        <w:t xml:space="preserve">[20] Vasileiou, V. et al. A Planck-scale limit on spacetime fuzziness and stochastic Lorentz invariance violation. Nature Phys. 11, 344-346 (2015).</w:t>
      </w:r>
    </w:p>
    <w:p>
      <w:pPr>
        <w:pStyle w:val="BodyText"/>
      </w:pPr>
      <w:r>
        <w:t xml:space="preserve">[21] Cherenkov Telescope Array Consortium. Science with the Cherenkov Telescope Array. (World Scientific, 2019).</w:t>
      </w:r>
    </w:p>
    <w:p>
      <w:pPr>
        <w:pStyle w:val="BodyText"/>
      </w:pPr>
      <w:r>
        <w:t xml:space="preserve">[22] Particle Data Group, Navas, S. et al. Review of Particle Physics. Phys. Rev. D 110, 030001 (2024).</w:t>
      </w:r>
    </w:p>
    <w:p>
      <w:pPr>
        <w:pStyle w:val="BodyText"/>
      </w:pPr>
      <w:r>
        <w:t xml:space="preserve">[23] Sinha, U. et al. Ruling out multi-order interference in quantum mechanics. Science 329, 418-421 (2010).</w:t>
      </w:r>
    </w:p>
    <w:p>
      <w:pPr>
        <w:pStyle w:val="BodyText"/>
      </w:pPr>
      <w:r>
        <w:t xml:space="preserve">[24] Witten, E. Topological quantum field theory. Commun. Math. Phys. 117, 353-386 (1988).</w:t>
      </w:r>
    </w:p>
    <w:p>
      <w:pPr>
        <w:pStyle w:val="BodyText"/>
      </w:pPr>
      <w:r>
        <w:t xml:space="preserve">[25] Logg, A. et al. Automated Solution of Differential Equations by the Finite Element Method. (Springer, 2012).</w:t>
      </w:r>
    </w:p>
    <w:p>
      <w:pPr>
        <w:pStyle w:val="BodyText"/>
      </w:pPr>
      <w:r>
        <w:t xml:space="preserve">[26] Planck Collaboration. Planck 2018 results. VI. Cosmological parameters. Astron. Astrophys. 641, A6 (2020).</w:t>
      </w:r>
    </w:p>
    <w:p>
      <w:pPr>
        <w:pStyle w:val="BodyText"/>
      </w:pPr>
      <w:r>
        <w:t xml:space="preserve">[27] Tiesinga, E. et al. CODATA recommended values of the fundamental physical constants: 2018. Rev. Mod. Phys. 93, 025010 (2021).</w:t>
      </w:r>
    </w:p>
    <w:p>
      <w:r>
        <w:pict>
          <v:rect style="width:0;height:1.5pt" o:hralign="center" o:hrstd="t" o:hr="t"/>
        </w:pict>
      </w:r>
    </w:p>
    <w:bookmarkEnd w:id="40"/>
    <w:bookmarkStart w:id="41" w:name="supporting-information"/>
    <w:p>
      <w:pPr>
        <w:pStyle w:val="Heading2"/>
      </w:pPr>
      <w:r>
        <w:t xml:space="preserve">Supporting Information</w:t>
      </w:r>
    </w:p>
    <w:p>
      <w:pPr>
        <w:pStyle w:val="FirstParagraph"/>
      </w:pPr>
      <w:r>
        <w:t xml:space="preserve">The SI Appendix contains:</w:t>
      </w:r>
      <w:r>
        <w:t xml:space="preserve"> </w:t>
      </w:r>
      <w:r>
        <w:t xml:space="preserve">- Full derivation of boundary rigidity kappa from discrete Hamiltonian</w:t>
      </w:r>
      <w:r>
        <w:t xml:space="preserve"> </w:t>
      </w:r>
      <w:r>
        <w:t xml:space="preserve">- Derivation of the fractal exponent delta from Riemann zeta zero statistics</w:t>
      </w:r>
      <w:r>
        <w:t xml:space="preserve"> </w:t>
      </w:r>
      <w:r>
        <w:t xml:space="preserve">- Complete benchmark scorecard (50 predictions vs. experimental data)</w:t>
      </w:r>
      <w:r>
        <w:t xml:space="preserve"> </w:t>
      </w:r>
      <w:r>
        <w:t xml:space="preserve">- Dimensional consistency verification</w:t>
      </w:r>
      <w:r>
        <w:t xml:space="preserve"> </w:t>
      </w:r>
      <w:r>
        <w:t xml:space="preserve">- Derivation of decoherence rate from impedance mismatch formalism</w:t>
      </w:r>
      <w:r>
        <w:t xml:space="preserve"> </w:t>
      </w:r>
      <w:r>
        <w:t xml:space="preserve">- Neutrino mixing angle calculation from S^2 harmonic overlap integrals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2026-02-10T02:39:30Z</dcterms:created>
  <dcterms:modified xsi:type="dcterms:W3CDTF">2026-02-10T02:39:30Z</dcterms:modified>
</cp:coreProperties>
</file>

<file path=docProps/custom.xml><?xml version="1.0" encoding="utf-8"?>
<Properties xmlns="http://schemas.openxmlformats.org/officeDocument/2006/custom-properties" xmlns:vt="http://schemas.openxmlformats.org/officeDocument/2006/docPropsVTypes"/>
</file>