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6CD" w:rsidRPr="00075386" w:rsidRDefault="00D016CD" w:rsidP="00BD3EC1">
      <w:pPr>
        <w:jc w:val="center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金融大數據分析與應用</w:t>
      </w:r>
      <w:r w:rsidRPr="00075386">
        <w:rPr>
          <w:rFonts w:ascii="Times New Roman" w:eastAsia="標楷體" w:hAnsi="Times New Roman" w:cs="Times New Roman"/>
          <w:szCs w:val="24"/>
        </w:rPr>
        <w:t>-</w:t>
      </w:r>
      <w:r w:rsidRPr="00075386">
        <w:rPr>
          <w:rFonts w:ascii="Times New Roman" w:eastAsia="標楷體" w:hAnsi="標楷體" w:cs="Times New Roman"/>
          <w:szCs w:val="24"/>
        </w:rPr>
        <w:t>時間序列報告</w:t>
      </w:r>
    </w:p>
    <w:p w:rsidR="00D016CD" w:rsidRPr="00075386" w:rsidRDefault="00D016CD" w:rsidP="00BD3EC1">
      <w:pPr>
        <w:jc w:val="center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學生：李日弘</w:t>
      </w:r>
    </w:p>
    <w:p w:rsidR="00D016CD" w:rsidRPr="00075386" w:rsidRDefault="00D016CD" w:rsidP="00BD3EC1">
      <w:pPr>
        <w:jc w:val="center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系級：統計資訊學系</w:t>
      </w:r>
      <w:r w:rsidRPr="00075386">
        <w:rPr>
          <w:rFonts w:ascii="Times New Roman" w:eastAsia="標楷體" w:hAnsi="Times New Roman" w:cs="Times New Roman"/>
          <w:szCs w:val="24"/>
        </w:rPr>
        <w:t xml:space="preserve"> </w:t>
      </w:r>
      <w:r w:rsidRPr="00075386">
        <w:rPr>
          <w:rFonts w:ascii="Times New Roman" w:eastAsia="標楷體" w:hAnsi="標楷體" w:cs="Times New Roman"/>
          <w:szCs w:val="24"/>
        </w:rPr>
        <w:t>碩二</w:t>
      </w:r>
    </w:p>
    <w:p w:rsidR="00D016CD" w:rsidRPr="00075386" w:rsidRDefault="00D016CD" w:rsidP="00BD3EC1">
      <w:pPr>
        <w:jc w:val="center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學號：</w:t>
      </w:r>
      <w:r w:rsidRPr="00075386">
        <w:rPr>
          <w:rFonts w:ascii="Times New Roman" w:eastAsia="標楷體" w:hAnsi="Times New Roman" w:cs="Times New Roman"/>
          <w:szCs w:val="24"/>
        </w:rPr>
        <w:t>410336128</w:t>
      </w:r>
    </w:p>
    <w:p w:rsidR="00D016CD" w:rsidRPr="00075386" w:rsidRDefault="00A715BB" w:rsidP="00BD3EC1">
      <w:pPr>
        <w:pStyle w:val="a7"/>
        <w:numPr>
          <w:ilvl w:val="0"/>
          <w:numId w:val="1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研究動機</w:t>
      </w:r>
    </w:p>
    <w:p w:rsidR="00BB1010" w:rsidRPr="00075386" w:rsidRDefault="00331171" w:rsidP="00A32A24">
      <w:pPr>
        <w:ind w:firstLine="48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CSR</w:t>
      </w:r>
      <w:r w:rsidRPr="00075386">
        <w:rPr>
          <w:rFonts w:ascii="Times New Roman" w:eastAsia="標楷體" w:hAnsi="標楷體" w:cs="Times New Roman"/>
          <w:szCs w:val="24"/>
        </w:rPr>
        <w:t>在近幾年興起，</w:t>
      </w:r>
      <w:r w:rsidR="008930CE" w:rsidRPr="00075386">
        <w:rPr>
          <w:rFonts w:ascii="Times New Roman" w:eastAsia="標楷體" w:hAnsi="標楷體" w:cs="Times New Roman"/>
          <w:szCs w:val="24"/>
        </w:rPr>
        <w:t>常被大家探討履行企業社會責任是否會影響</w:t>
      </w:r>
      <w:r w:rsidR="00EA3F2F" w:rsidRPr="00075386">
        <w:rPr>
          <w:rFonts w:ascii="Times New Roman" w:eastAsia="標楷體" w:hAnsi="標楷體" w:cs="Times New Roman"/>
          <w:szCs w:val="24"/>
        </w:rPr>
        <w:t>公司績效</w:t>
      </w:r>
      <w:r w:rsidR="008930CE" w:rsidRPr="00075386">
        <w:rPr>
          <w:rFonts w:ascii="Times New Roman" w:eastAsia="標楷體" w:hAnsi="標楷體" w:cs="Times New Roman"/>
          <w:szCs w:val="24"/>
        </w:rPr>
        <w:t>或股價報酬</w:t>
      </w:r>
      <w:r w:rsidR="00BB1010" w:rsidRPr="00075386">
        <w:rPr>
          <w:rFonts w:ascii="Times New Roman" w:eastAsia="標楷體" w:hAnsi="標楷體" w:cs="Times New Roman"/>
          <w:szCs w:val="24"/>
        </w:rPr>
        <w:t>。</w:t>
      </w:r>
      <w:r w:rsidR="00DE455E" w:rsidRPr="00075386">
        <w:rPr>
          <w:rFonts w:ascii="Times New Roman" w:eastAsia="標楷體" w:hAnsi="Times New Roman" w:cs="Times New Roman"/>
          <w:szCs w:val="24"/>
        </w:rPr>
        <w:t>CSR</w:t>
      </w:r>
      <w:r w:rsidR="00DE455E" w:rsidRPr="00075386">
        <w:rPr>
          <w:rFonts w:ascii="Times New Roman" w:eastAsia="標楷體" w:hAnsi="標楷體" w:cs="Times New Roman"/>
          <w:szCs w:val="24"/>
        </w:rPr>
        <w:t>可能會改變投資者對企業的看法，</w:t>
      </w:r>
      <w:r w:rsidR="00C326DF" w:rsidRPr="00075386">
        <w:rPr>
          <w:rFonts w:ascii="Times New Roman" w:eastAsia="標楷體" w:hAnsi="標楷體" w:cs="Times New Roman"/>
          <w:szCs w:val="24"/>
        </w:rPr>
        <w:t>使得企業獲得較好的股價報</w:t>
      </w:r>
      <w:r w:rsidR="00BB1010" w:rsidRPr="00075386">
        <w:rPr>
          <w:rFonts w:ascii="Times New Roman" w:eastAsia="標楷體" w:hAnsi="標楷體" w:cs="Times New Roman"/>
          <w:szCs w:val="24"/>
        </w:rPr>
        <w:t>酬。</w:t>
      </w:r>
      <w:r w:rsidR="006D4DE9" w:rsidRPr="00075386">
        <w:rPr>
          <w:rFonts w:ascii="Times New Roman" w:eastAsia="標楷體" w:hAnsi="Times New Roman" w:cs="Times New Roman"/>
          <w:szCs w:val="24"/>
        </w:rPr>
        <w:t>COVID-19</w:t>
      </w:r>
      <w:r w:rsidR="006D4DE9" w:rsidRPr="00075386">
        <w:rPr>
          <w:rFonts w:ascii="Times New Roman" w:eastAsia="標楷體" w:hAnsi="標楷體" w:cs="Times New Roman"/>
          <w:szCs w:val="24"/>
        </w:rPr>
        <w:t>在</w:t>
      </w:r>
      <w:r w:rsidR="006D4DE9" w:rsidRPr="00075386">
        <w:rPr>
          <w:rFonts w:ascii="Times New Roman" w:eastAsia="標楷體" w:hAnsi="Times New Roman" w:cs="Times New Roman"/>
          <w:szCs w:val="24"/>
        </w:rPr>
        <w:t>2020</w:t>
      </w:r>
      <w:r w:rsidR="006D4DE9" w:rsidRPr="00075386">
        <w:rPr>
          <w:rFonts w:ascii="Times New Roman" w:eastAsia="標楷體" w:hAnsi="標楷體" w:cs="Times New Roman"/>
          <w:szCs w:val="24"/>
        </w:rPr>
        <w:t>年初爆發，</w:t>
      </w:r>
      <w:r w:rsidR="003B49EF" w:rsidRPr="00075386">
        <w:rPr>
          <w:rFonts w:ascii="Times New Roman" w:eastAsia="標楷體" w:hAnsi="標楷體" w:cs="Times New Roman"/>
          <w:szCs w:val="24"/>
        </w:rPr>
        <w:t>衝擊</w:t>
      </w:r>
      <w:r w:rsidR="00514CD3" w:rsidRPr="00075386">
        <w:rPr>
          <w:rFonts w:ascii="Times New Roman" w:eastAsia="標楷體" w:hAnsi="標楷體" w:cs="Times New Roman"/>
          <w:szCs w:val="24"/>
        </w:rPr>
        <w:t>全世界，在</w:t>
      </w:r>
      <w:r w:rsidR="00514CD3" w:rsidRPr="00075386">
        <w:rPr>
          <w:rFonts w:ascii="Times New Roman" w:eastAsia="標楷體" w:hAnsi="Times New Roman" w:cs="Times New Roman"/>
          <w:szCs w:val="24"/>
        </w:rPr>
        <w:t>3</w:t>
      </w:r>
      <w:r w:rsidR="00514CD3" w:rsidRPr="00075386">
        <w:rPr>
          <w:rFonts w:ascii="Times New Roman" w:eastAsia="標楷體" w:hAnsi="標楷體" w:cs="Times New Roman"/>
          <w:szCs w:val="24"/>
        </w:rPr>
        <w:t>月時</w:t>
      </w:r>
      <w:r w:rsidR="006459AD" w:rsidRPr="00075386">
        <w:rPr>
          <w:rFonts w:ascii="Times New Roman" w:eastAsia="標楷體" w:hAnsi="標楷體" w:cs="Times New Roman"/>
          <w:szCs w:val="24"/>
        </w:rPr>
        <w:t>，還間接導致沙烏地阿拉伯與俄羅斯石油生產分歧，導致美國油價暴跌，甚至</w:t>
      </w:r>
      <w:proofErr w:type="gramStart"/>
      <w:r w:rsidR="006459AD" w:rsidRPr="00075386">
        <w:rPr>
          <w:rFonts w:ascii="Times New Roman" w:eastAsia="標楷體" w:hAnsi="標楷體" w:cs="Times New Roman"/>
          <w:szCs w:val="24"/>
        </w:rPr>
        <w:t>觸發熔斷</w:t>
      </w:r>
      <w:proofErr w:type="gramEnd"/>
      <w:r w:rsidR="006459AD" w:rsidRPr="00075386">
        <w:rPr>
          <w:rFonts w:ascii="Times New Roman" w:eastAsia="標楷體" w:hAnsi="標楷體" w:cs="Times New Roman"/>
          <w:szCs w:val="24"/>
        </w:rPr>
        <w:t>機制，使美國</w:t>
      </w:r>
      <w:proofErr w:type="gramStart"/>
      <w:r w:rsidR="006459AD" w:rsidRPr="00075386">
        <w:rPr>
          <w:rFonts w:ascii="Times New Roman" w:eastAsia="標楷體" w:hAnsi="標楷體" w:cs="Times New Roman"/>
          <w:szCs w:val="24"/>
        </w:rPr>
        <w:t>三大股指暫停</w:t>
      </w:r>
      <w:proofErr w:type="gramEnd"/>
      <w:r w:rsidR="006459AD" w:rsidRPr="00075386">
        <w:rPr>
          <w:rFonts w:ascii="Times New Roman" w:eastAsia="標楷體" w:hAnsi="標楷體" w:cs="Times New Roman"/>
          <w:szCs w:val="24"/>
        </w:rPr>
        <w:t>交易</w:t>
      </w:r>
      <w:r w:rsidR="006459AD" w:rsidRPr="00075386">
        <w:rPr>
          <w:rFonts w:ascii="Times New Roman" w:eastAsia="標楷體" w:hAnsi="Times New Roman" w:cs="Times New Roman"/>
          <w:szCs w:val="24"/>
        </w:rPr>
        <w:t>15</w:t>
      </w:r>
      <w:r w:rsidR="006459AD" w:rsidRPr="00075386">
        <w:rPr>
          <w:rFonts w:ascii="Times New Roman" w:eastAsia="標楷體" w:hAnsi="標楷體" w:cs="Times New Roman"/>
          <w:szCs w:val="24"/>
        </w:rPr>
        <w:t>分鐘。</w:t>
      </w:r>
      <w:r w:rsidR="00E30245" w:rsidRPr="00075386">
        <w:rPr>
          <w:rFonts w:ascii="Times New Roman" w:eastAsia="標楷體" w:hAnsi="標楷體" w:cs="Times New Roman"/>
          <w:szCs w:val="24"/>
        </w:rPr>
        <w:t>所以我想藉此課程所學，</w:t>
      </w:r>
      <w:r w:rsidR="00575F92" w:rsidRPr="00075386">
        <w:rPr>
          <w:rFonts w:ascii="Times New Roman" w:eastAsia="標楷體" w:hAnsi="標楷體" w:cs="Times New Roman"/>
          <w:szCs w:val="24"/>
        </w:rPr>
        <w:t>查看利用</w:t>
      </w:r>
      <w:r w:rsidR="00575F92" w:rsidRPr="00075386">
        <w:rPr>
          <w:rFonts w:ascii="Times New Roman" w:eastAsia="標楷體" w:hAnsi="Times New Roman" w:cs="Times New Roman"/>
          <w:szCs w:val="24"/>
        </w:rPr>
        <w:t>ARMA</w:t>
      </w:r>
      <w:r w:rsidR="00575F92" w:rsidRPr="00075386">
        <w:rPr>
          <w:rFonts w:ascii="Times New Roman" w:eastAsia="標楷體" w:hAnsi="標楷體" w:cs="Times New Roman"/>
          <w:szCs w:val="24"/>
        </w:rPr>
        <w:t>和</w:t>
      </w:r>
      <w:r w:rsidR="00575F92" w:rsidRPr="00075386">
        <w:rPr>
          <w:rFonts w:ascii="Times New Roman" w:eastAsia="標楷體" w:hAnsi="Times New Roman" w:cs="Times New Roman"/>
          <w:szCs w:val="24"/>
        </w:rPr>
        <w:t>GARCH</w:t>
      </w:r>
      <w:r w:rsidR="00575F92" w:rsidRPr="00075386">
        <w:rPr>
          <w:rFonts w:ascii="Times New Roman" w:eastAsia="標楷體" w:hAnsi="標楷體" w:cs="Times New Roman"/>
          <w:szCs w:val="24"/>
        </w:rPr>
        <w:t>模型所預測的股價報酬率，</w:t>
      </w:r>
      <w:r w:rsidR="00BB1010" w:rsidRPr="00075386">
        <w:rPr>
          <w:rFonts w:ascii="Times New Roman" w:eastAsia="標楷體" w:hAnsi="標楷體" w:cs="Times New Roman"/>
          <w:szCs w:val="24"/>
        </w:rPr>
        <w:t>在</w:t>
      </w:r>
      <w:proofErr w:type="gramStart"/>
      <w:r w:rsidR="00BB1010" w:rsidRPr="00075386">
        <w:rPr>
          <w:rFonts w:ascii="Times New Roman" w:eastAsia="標楷體" w:hAnsi="標楷體" w:cs="Times New Roman"/>
          <w:szCs w:val="24"/>
        </w:rPr>
        <w:t>疫情的</w:t>
      </w:r>
      <w:proofErr w:type="gramEnd"/>
      <w:r w:rsidR="00BB1010" w:rsidRPr="00075386">
        <w:rPr>
          <w:rFonts w:ascii="Times New Roman" w:eastAsia="標楷體" w:hAnsi="標楷體" w:cs="Times New Roman"/>
          <w:szCs w:val="24"/>
        </w:rPr>
        <w:t>衝擊下，有無實施</w:t>
      </w:r>
      <w:r w:rsidR="00BB1010" w:rsidRPr="00075386">
        <w:rPr>
          <w:rFonts w:ascii="Times New Roman" w:eastAsia="標楷體" w:hAnsi="Times New Roman" w:cs="Times New Roman"/>
          <w:szCs w:val="24"/>
        </w:rPr>
        <w:t>CSR</w:t>
      </w:r>
      <w:r w:rsidR="00BB1010" w:rsidRPr="00075386">
        <w:rPr>
          <w:rFonts w:ascii="Times New Roman" w:eastAsia="標楷體" w:hAnsi="標楷體" w:cs="Times New Roman"/>
          <w:szCs w:val="24"/>
        </w:rPr>
        <w:t>的企業</w:t>
      </w:r>
      <w:r w:rsidR="00750D0F" w:rsidRPr="00075386">
        <w:rPr>
          <w:rFonts w:ascii="Times New Roman" w:eastAsia="標楷體" w:hAnsi="標楷體" w:cs="Times New Roman"/>
          <w:szCs w:val="24"/>
        </w:rPr>
        <w:t>，在</w:t>
      </w:r>
      <w:r w:rsidR="00750D0F" w:rsidRPr="00075386">
        <w:rPr>
          <w:rFonts w:ascii="Times New Roman" w:eastAsia="標楷體" w:hAnsi="Times New Roman" w:cs="Times New Roman"/>
          <w:szCs w:val="24"/>
        </w:rPr>
        <w:t>2020</w:t>
      </w:r>
      <w:r w:rsidR="00750D0F" w:rsidRPr="00075386">
        <w:rPr>
          <w:rFonts w:ascii="Times New Roman" w:eastAsia="標楷體" w:hAnsi="標楷體" w:cs="Times New Roman"/>
          <w:szCs w:val="24"/>
        </w:rPr>
        <w:t>年前</w:t>
      </w:r>
      <w:r w:rsidR="00750D0F" w:rsidRPr="00075386">
        <w:rPr>
          <w:rFonts w:ascii="Times New Roman" w:eastAsia="標楷體" w:hAnsi="Times New Roman" w:cs="Times New Roman"/>
          <w:szCs w:val="24"/>
        </w:rPr>
        <w:t>2</w:t>
      </w:r>
      <w:r w:rsidR="00750D0F" w:rsidRPr="00075386">
        <w:rPr>
          <w:rFonts w:ascii="Times New Roman" w:eastAsia="標楷體" w:hAnsi="標楷體" w:cs="Times New Roman"/>
          <w:szCs w:val="24"/>
        </w:rPr>
        <w:t>季的</w:t>
      </w:r>
      <w:r w:rsidR="00524CAA" w:rsidRPr="00075386">
        <w:rPr>
          <w:rFonts w:ascii="Times New Roman" w:eastAsia="標楷體" w:hAnsi="標楷體" w:cs="Times New Roman"/>
          <w:szCs w:val="24"/>
        </w:rPr>
        <w:t>實際和預測的</w:t>
      </w:r>
      <w:r w:rsidR="00E02D1D" w:rsidRPr="00075386">
        <w:rPr>
          <w:rFonts w:ascii="Times New Roman" w:eastAsia="標楷體" w:hAnsi="標楷體" w:cs="Times New Roman"/>
          <w:szCs w:val="24"/>
        </w:rPr>
        <w:t>股</w:t>
      </w:r>
      <w:r w:rsidR="00524CAA" w:rsidRPr="00075386">
        <w:rPr>
          <w:rFonts w:ascii="Times New Roman" w:eastAsia="標楷體" w:hAnsi="標楷體" w:cs="Times New Roman"/>
          <w:szCs w:val="24"/>
        </w:rPr>
        <w:t>價報酬率有無差異。</w:t>
      </w:r>
    </w:p>
    <w:p w:rsidR="00A715BB" w:rsidRPr="00075386" w:rsidRDefault="00A715BB" w:rsidP="00BD3EC1">
      <w:pPr>
        <w:pStyle w:val="a7"/>
        <w:numPr>
          <w:ilvl w:val="0"/>
          <w:numId w:val="1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變數定義</w:t>
      </w:r>
    </w:p>
    <w:p w:rsidR="00513522" w:rsidRPr="00075386" w:rsidRDefault="0074591B" w:rsidP="00A32A24">
      <w:pPr>
        <w:ind w:firstLine="48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資料取自台灣經濟新報</w:t>
      </w:r>
      <w:r w:rsidRPr="00075386">
        <w:rPr>
          <w:rFonts w:ascii="Times New Roman" w:eastAsia="標楷體" w:hAnsi="Times New Roman" w:cs="Times New Roman"/>
          <w:szCs w:val="24"/>
        </w:rPr>
        <w:t>(TEJ)</w:t>
      </w:r>
      <w:r w:rsidR="00202A7D" w:rsidRPr="00075386">
        <w:rPr>
          <w:rFonts w:ascii="Times New Roman" w:eastAsia="標楷體" w:hAnsi="標楷體" w:cs="Times New Roman"/>
          <w:szCs w:val="24"/>
        </w:rPr>
        <w:t>，</w:t>
      </w:r>
      <w:r w:rsidR="00513522" w:rsidRPr="00075386">
        <w:rPr>
          <w:rFonts w:ascii="Times New Roman" w:eastAsia="標楷體" w:hAnsi="標楷體" w:cs="Times New Roman"/>
          <w:szCs w:val="24"/>
        </w:rPr>
        <w:t>為了避免產業別的差異，都挑選</w:t>
      </w:r>
      <w:r w:rsidR="00513522" w:rsidRPr="00075386">
        <w:rPr>
          <w:rFonts w:ascii="Times New Roman" w:eastAsia="標楷體" w:hAnsi="Times New Roman" w:cs="Times New Roman"/>
          <w:szCs w:val="24"/>
        </w:rPr>
        <w:t>2300</w:t>
      </w:r>
      <w:r w:rsidR="00513522" w:rsidRPr="00075386">
        <w:rPr>
          <w:rFonts w:ascii="Times New Roman" w:eastAsia="標楷體" w:hAnsi="標楷體" w:cs="Times New Roman"/>
          <w:szCs w:val="24"/>
        </w:rPr>
        <w:t>電子工業</w:t>
      </w:r>
      <w:r w:rsidR="00E468A4" w:rsidRPr="00075386">
        <w:rPr>
          <w:rFonts w:ascii="Times New Roman" w:eastAsia="標楷體" w:hAnsi="標楷體" w:cs="Times New Roman"/>
          <w:szCs w:val="24"/>
        </w:rPr>
        <w:t>的企業為樣本</w:t>
      </w:r>
      <w:r w:rsidR="00513522" w:rsidRPr="00075386">
        <w:rPr>
          <w:rFonts w:ascii="Times New Roman" w:eastAsia="標楷體" w:hAnsi="標楷體" w:cs="Times New Roman"/>
          <w:szCs w:val="24"/>
        </w:rPr>
        <w:t>，</w:t>
      </w:r>
      <w:r w:rsidR="000F51D9" w:rsidRPr="00075386">
        <w:rPr>
          <w:rFonts w:ascii="Times New Roman" w:eastAsia="標楷體" w:hAnsi="標楷體" w:cs="Times New Roman"/>
          <w:szCs w:val="24"/>
        </w:rPr>
        <w:t>利用他們</w:t>
      </w:r>
      <w:r w:rsidR="000F51D9" w:rsidRPr="00075386">
        <w:rPr>
          <w:rFonts w:ascii="Times New Roman" w:eastAsia="標楷體" w:hAnsi="Times New Roman" w:cs="Times New Roman"/>
          <w:szCs w:val="24"/>
        </w:rPr>
        <w:t>2015</w:t>
      </w:r>
      <w:r w:rsidR="000F51D9" w:rsidRPr="00075386">
        <w:rPr>
          <w:rFonts w:ascii="Times New Roman" w:eastAsia="標楷體" w:hAnsi="標楷體" w:cs="Times New Roman"/>
          <w:szCs w:val="24"/>
        </w:rPr>
        <w:t>年</w:t>
      </w:r>
      <w:r w:rsidR="000F51D9" w:rsidRPr="00075386">
        <w:rPr>
          <w:rFonts w:ascii="Times New Roman" w:eastAsia="標楷體" w:hAnsi="Times New Roman" w:cs="Times New Roman"/>
          <w:szCs w:val="24"/>
        </w:rPr>
        <w:t>1</w:t>
      </w:r>
      <w:r w:rsidR="000F51D9" w:rsidRPr="00075386">
        <w:rPr>
          <w:rFonts w:ascii="Times New Roman" w:eastAsia="標楷體" w:hAnsi="標楷體" w:cs="Times New Roman"/>
          <w:szCs w:val="24"/>
        </w:rPr>
        <w:t>月</w:t>
      </w:r>
      <w:r w:rsidR="000F51D9" w:rsidRPr="00075386">
        <w:rPr>
          <w:rFonts w:ascii="Times New Roman" w:eastAsia="標楷體" w:hAnsi="Times New Roman" w:cs="Times New Roman"/>
          <w:szCs w:val="24"/>
        </w:rPr>
        <w:t>1</w:t>
      </w:r>
      <w:r w:rsidR="000F51D9" w:rsidRPr="00075386">
        <w:rPr>
          <w:rFonts w:ascii="Times New Roman" w:eastAsia="標楷體" w:hAnsi="標楷體" w:cs="Times New Roman"/>
          <w:szCs w:val="24"/>
        </w:rPr>
        <w:t>到</w:t>
      </w:r>
      <w:r w:rsidR="000F51D9" w:rsidRPr="00075386">
        <w:rPr>
          <w:rFonts w:ascii="Times New Roman" w:eastAsia="標楷體" w:hAnsi="Times New Roman" w:cs="Times New Roman"/>
          <w:szCs w:val="24"/>
        </w:rPr>
        <w:t>2019</w:t>
      </w:r>
      <w:r w:rsidR="000F51D9" w:rsidRPr="00075386">
        <w:rPr>
          <w:rFonts w:ascii="Times New Roman" w:eastAsia="標楷體" w:hAnsi="標楷體" w:cs="Times New Roman"/>
          <w:szCs w:val="24"/>
        </w:rPr>
        <w:t>年</w:t>
      </w:r>
      <w:r w:rsidR="000F51D9" w:rsidRPr="00075386">
        <w:rPr>
          <w:rFonts w:ascii="Times New Roman" w:eastAsia="標楷體" w:hAnsi="Times New Roman" w:cs="Times New Roman"/>
          <w:szCs w:val="24"/>
        </w:rPr>
        <w:t>12</w:t>
      </w:r>
      <w:r w:rsidR="000F51D9" w:rsidRPr="00075386">
        <w:rPr>
          <w:rFonts w:ascii="Times New Roman" w:eastAsia="標楷體" w:hAnsi="標楷體" w:cs="Times New Roman"/>
          <w:szCs w:val="24"/>
        </w:rPr>
        <w:t>月</w:t>
      </w:r>
      <w:r w:rsidR="000F51D9" w:rsidRPr="00075386">
        <w:rPr>
          <w:rFonts w:ascii="Times New Roman" w:eastAsia="標楷體" w:hAnsi="Times New Roman" w:cs="Times New Roman"/>
          <w:szCs w:val="24"/>
        </w:rPr>
        <w:t>31</w:t>
      </w:r>
      <w:r w:rsidR="000F51D9" w:rsidRPr="00075386">
        <w:rPr>
          <w:rFonts w:ascii="Times New Roman" w:eastAsia="標楷體" w:hAnsi="標楷體" w:cs="Times New Roman"/>
          <w:szCs w:val="24"/>
        </w:rPr>
        <w:t>日的股價報酬率，來預測</w:t>
      </w:r>
      <w:r w:rsidR="000F51D9" w:rsidRPr="00075386">
        <w:rPr>
          <w:rFonts w:ascii="Times New Roman" w:eastAsia="標楷體" w:hAnsi="Times New Roman" w:cs="Times New Roman"/>
          <w:szCs w:val="24"/>
        </w:rPr>
        <w:t>2020</w:t>
      </w:r>
      <w:r w:rsidR="000F51D9" w:rsidRPr="00075386">
        <w:rPr>
          <w:rFonts w:ascii="Times New Roman" w:eastAsia="標楷體" w:hAnsi="標楷體" w:cs="Times New Roman"/>
          <w:szCs w:val="24"/>
        </w:rPr>
        <w:t>年</w:t>
      </w:r>
      <w:r w:rsidR="000F51D9" w:rsidRPr="00075386">
        <w:rPr>
          <w:rFonts w:ascii="Times New Roman" w:eastAsia="標楷體" w:hAnsi="Times New Roman" w:cs="Times New Roman"/>
          <w:szCs w:val="24"/>
        </w:rPr>
        <w:t>1</w:t>
      </w:r>
      <w:r w:rsidR="000F51D9" w:rsidRPr="00075386">
        <w:rPr>
          <w:rFonts w:ascii="Times New Roman" w:eastAsia="標楷體" w:hAnsi="標楷體" w:cs="Times New Roman"/>
          <w:szCs w:val="24"/>
        </w:rPr>
        <w:t>月</w:t>
      </w:r>
      <w:r w:rsidR="000F51D9" w:rsidRPr="00075386">
        <w:rPr>
          <w:rFonts w:ascii="Times New Roman" w:eastAsia="標楷體" w:hAnsi="Times New Roman" w:cs="Times New Roman"/>
          <w:szCs w:val="24"/>
        </w:rPr>
        <w:t>1</w:t>
      </w:r>
      <w:r w:rsidR="000F51D9" w:rsidRPr="00075386">
        <w:rPr>
          <w:rFonts w:ascii="Times New Roman" w:eastAsia="標楷體" w:hAnsi="標楷體" w:cs="Times New Roman"/>
          <w:szCs w:val="24"/>
        </w:rPr>
        <w:t>日至</w:t>
      </w:r>
      <w:r w:rsidR="000F51D9" w:rsidRPr="00075386">
        <w:rPr>
          <w:rFonts w:ascii="Times New Roman" w:eastAsia="標楷體" w:hAnsi="Times New Roman" w:cs="Times New Roman"/>
          <w:szCs w:val="24"/>
        </w:rPr>
        <w:t>6</w:t>
      </w:r>
      <w:r w:rsidR="000F51D9" w:rsidRPr="00075386">
        <w:rPr>
          <w:rFonts w:ascii="Times New Roman" w:eastAsia="標楷體" w:hAnsi="標楷體" w:cs="Times New Roman"/>
          <w:szCs w:val="24"/>
        </w:rPr>
        <w:t>月</w:t>
      </w:r>
      <w:r w:rsidR="000F51D9" w:rsidRPr="00075386">
        <w:rPr>
          <w:rFonts w:ascii="Times New Roman" w:eastAsia="標楷體" w:hAnsi="Times New Roman" w:cs="Times New Roman"/>
          <w:szCs w:val="24"/>
        </w:rPr>
        <w:t>30</w:t>
      </w:r>
      <w:r w:rsidR="000F51D9" w:rsidRPr="00075386">
        <w:rPr>
          <w:rFonts w:ascii="Times New Roman" w:eastAsia="標楷體" w:hAnsi="標楷體" w:cs="Times New Roman"/>
          <w:szCs w:val="24"/>
        </w:rPr>
        <w:t>日</w:t>
      </w:r>
      <w:r w:rsidR="001F35F5" w:rsidRPr="00075386">
        <w:rPr>
          <w:rFonts w:ascii="Times New Roman" w:eastAsia="標楷體" w:hAnsi="標楷體" w:cs="Times New Roman"/>
          <w:szCs w:val="24"/>
        </w:rPr>
        <w:t>的股價報酬率。</w:t>
      </w:r>
      <w:r w:rsidR="0046704D" w:rsidRPr="00075386">
        <w:rPr>
          <w:rFonts w:ascii="Times New Roman" w:eastAsia="標楷體" w:hAnsi="標楷體" w:cs="Times New Roman"/>
          <w:szCs w:val="24"/>
        </w:rPr>
        <w:t>挑選方法</w:t>
      </w:r>
      <w:r w:rsidR="009656F1" w:rsidRPr="00075386">
        <w:rPr>
          <w:rFonts w:ascii="Times New Roman" w:eastAsia="標楷體" w:hAnsi="標楷體" w:cs="Times New Roman"/>
          <w:szCs w:val="24"/>
        </w:rPr>
        <w:t>與</w:t>
      </w:r>
      <w:r w:rsidR="00933058" w:rsidRPr="00075386">
        <w:rPr>
          <w:rFonts w:ascii="Times New Roman" w:eastAsia="標楷體" w:hAnsi="標楷體" w:cs="Times New Roman"/>
          <w:szCs w:val="24"/>
        </w:rPr>
        <w:t>挑選</w:t>
      </w:r>
      <w:r w:rsidR="009656F1" w:rsidRPr="00075386">
        <w:rPr>
          <w:rFonts w:ascii="Times New Roman" w:eastAsia="標楷體" w:hAnsi="標楷體" w:cs="Times New Roman"/>
          <w:szCs w:val="24"/>
        </w:rPr>
        <w:t>企業</w:t>
      </w:r>
      <w:r w:rsidR="0046704D" w:rsidRPr="00075386">
        <w:rPr>
          <w:rFonts w:ascii="Times New Roman" w:eastAsia="標楷體" w:hAnsi="標楷體" w:cs="Times New Roman"/>
          <w:szCs w:val="24"/>
        </w:rPr>
        <w:t>如下：</w:t>
      </w:r>
    </w:p>
    <w:p w:rsidR="0046704D" w:rsidRPr="00075386" w:rsidRDefault="0046704D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1.</w:t>
      </w:r>
      <w:r w:rsidR="00A32A24">
        <w:rPr>
          <w:rFonts w:ascii="Times New Roman" w:eastAsia="標楷體" w:hAnsi="Times New Roman" w:cs="Times New Roman" w:hint="eastAsia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年底</w:t>
      </w:r>
      <w:r w:rsidRPr="00075386">
        <w:rPr>
          <w:rFonts w:ascii="Times New Roman" w:eastAsia="標楷體" w:hAnsi="Times New Roman" w:cs="Times New Roman"/>
          <w:szCs w:val="24"/>
        </w:rPr>
        <w:t>CSR</w:t>
      </w:r>
      <w:r w:rsidRPr="00075386">
        <w:rPr>
          <w:rFonts w:ascii="Times New Roman" w:eastAsia="標楷體" w:hAnsi="標楷體" w:cs="Times New Roman"/>
          <w:szCs w:val="24"/>
        </w:rPr>
        <w:t>評鑑等級</w:t>
      </w:r>
      <w:r w:rsidRPr="00075386">
        <w:rPr>
          <w:rFonts w:ascii="Times New Roman" w:eastAsia="標楷體" w:hAnsi="Times New Roman" w:cs="Times New Roman"/>
          <w:szCs w:val="24"/>
        </w:rPr>
        <w:t>A+</w:t>
      </w:r>
      <w:r w:rsidRPr="00075386">
        <w:rPr>
          <w:rFonts w:ascii="Times New Roman" w:eastAsia="標楷體" w:hAnsi="標楷體" w:cs="Times New Roman"/>
          <w:szCs w:val="24"/>
        </w:rPr>
        <w:t>的企業：</w:t>
      </w:r>
      <w:r w:rsidRPr="00075386">
        <w:rPr>
          <w:rFonts w:ascii="Times New Roman" w:eastAsia="標楷體" w:hAnsi="Times New Roman" w:cs="Times New Roman"/>
          <w:szCs w:val="24"/>
        </w:rPr>
        <w:t xml:space="preserve">2330 </w:t>
      </w:r>
      <w:r w:rsidRPr="00075386">
        <w:rPr>
          <w:rFonts w:ascii="Times New Roman" w:eastAsia="標楷體" w:hAnsi="標楷體" w:cs="Times New Roman"/>
          <w:szCs w:val="24"/>
        </w:rPr>
        <w:t>台積電</w:t>
      </w:r>
    </w:p>
    <w:p w:rsidR="00996C1C" w:rsidRPr="00075386" w:rsidRDefault="0046704D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2.</w:t>
      </w:r>
      <w:r w:rsidR="00A32A24">
        <w:rPr>
          <w:rFonts w:ascii="Times New Roman" w:eastAsia="標楷體" w:hAnsi="Times New Roman" w:cs="Times New Roman" w:hint="eastAsia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年底</w:t>
      </w:r>
      <w:r w:rsidRPr="00075386">
        <w:rPr>
          <w:rFonts w:ascii="Times New Roman" w:eastAsia="標楷體" w:hAnsi="Times New Roman" w:cs="Times New Roman"/>
          <w:szCs w:val="24"/>
        </w:rPr>
        <w:t>CSR</w:t>
      </w:r>
      <w:r w:rsidRPr="00075386">
        <w:rPr>
          <w:rFonts w:ascii="Times New Roman" w:eastAsia="標楷體" w:hAnsi="標楷體" w:cs="Times New Roman"/>
          <w:szCs w:val="24"/>
        </w:rPr>
        <w:t>評鑑沒有被評比的企業：</w:t>
      </w:r>
      <w:r w:rsidRPr="00075386">
        <w:rPr>
          <w:rFonts w:ascii="Times New Roman" w:eastAsia="標楷體" w:hAnsi="Times New Roman" w:cs="Times New Roman"/>
          <w:szCs w:val="24"/>
        </w:rPr>
        <w:t xml:space="preserve">3191 </w:t>
      </w:r>
      <w:r w:rsidRPr="00075386">
        <w:rPr>
          <w:rFonts w:ascii="Times New Roman" w:eastAsia="標楷體" w:hAnsi="標楷體" w:cs="Times New Roman"/>
          <w:szCs w:val="24"/>
        </w:rPr>
        <w:t>和進</w:t>
      </w:r>
    </w:p>
    <w:p w:rsidR="00A715BB" w:rsidRPr="00075386" w:rsidRDefault="00A715BB" w:rsidP="00BD3EC1">
      <w:pPr>
        <w:pStyle w:val="a7"/>
        <w:numPr>
          <w:ilvl w:val="0"/>
          <w:numId w:val="1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基本統計量</w:t>
      </w:r>
    </w:p>
    <w:p w:rsidR="00E30F6D" w:rsidRPr="00075386" w:rsidRDefault="00E30F6D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  <w:r w:rsidRPr="00075386">
        <w:rPr>
          <w:rFonts w:ascii="Times New Roman" w:eastAsia="標楷體" w:hAnsi="Times New Roman" w:cs="Times New Roman"/>
          <w:szCs w:val="24"/>
        </w:rPr>
        <w:t>(2330)</w:t>
      </w:r>
      <w:r w:rsidRPr="00075386">
        <w:rPr>
          <w:rFonts w:ascii="Times New Roman" w:eastAsia="標楷體" w:hAnsi="標楷體" w:cs="Times New Roman"/>
          <w:szCs w:val="24"/>
        </w:rPr>
        <w:t>、</w:t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  <w:r w:rsidRPr="00075386">
        <w:rPr>
          <w:rFonts w:ascii="Times New Roman" w:eastAsia="標楷體" w:hAnsi="Times New Roman" w:cs="Times New Roman"/>
          <w:szCs w:val="24"/>
        </w:rPr>
        <w:t>(3191)2015</w:t>
      </w:r>
      <w:r w:rsidRPr="00075386">
        <w:rPr>
          <w:rFonts w:ascii="Times New Roman" w:eastAsia="標楷體" w:hAnsi="標楷體" w:cs="Times New Roman"/>
          <w:szCs w:val="24"/>
        </w:rPr>
        <w:t>到</w:t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年，每年的平均收盤價以及公司市值。</w:t>
      </w:r>
    </w:p>
    <w:p w:rsidR="00E30F6D" w:rsidRPr="00075386" w:rsidRDefault="00E30F6D" w:rsidP="00BD3EC1">
      <w:pPr>
        <w:pStyle w:val="a7"/>
        <w:ind w:leftChars="0" w:left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可以發現兩家的收盤價、市值有明顯差異。</w:t>
      </w:r>
    </w:p>
    <w:p w:rsidR="00996C1C" w:rsidRPr="00075386" w:rsidRDefault="00E30F6D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5274310" cy="1822586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6A" w:rsidRPr="00075386" w:rsidRDefault="002C586A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  <w:r w:rsidRPr="00075386">
        <w:rPr>
          <w:rFonts w:ascii="Times New Roman" w:eastAsia="標楷體" w:hAnsi="Times New Roman" w:cs="Times New Roman"/>
          <w:szCs w:val="24"/>
        </w:rPr>
        <w:t>(2330)</w:t>
      </w:r>
      <w:r w:rsidRPr="00075386">
        <w:rPr>
          <w:rFonts w:ascii="Times New Roman" w:eastAsia="標楷體" w:hAnsi="標楷體" w:cs="Times New Roman"/>
          <w:szCs w:val="24"/>
        </w:rPr>
        <w:t>、</w:t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  <w:r w:rsidRPr="00075386">
        <w:rPr>
          <w:rFonts w:ascii="Times New Roman" w:eastAsia="標楷體" w:hAnsi="Times New Roman" w:cs="Times New Roman"/>
          <w:szCs w:val="24"/>
        </w:rPr>
        <w:t>(3191)2015</w:t>
      </w:r>
      <w:r w:rsidRPr="00075386">
        <w:rPr>
          <w:rFonts w:ascii="Times New Roman" w:eastAsia="標楷體" w:hAnsi="標楷體" w:cs="Times New Roman"/>
          <w:szCs w:val="24"/>
        </w:rPr>
        <w:t>到</w:t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年，開盤價、當日最高股價、當日最低股價、收盤價、市值的基本統計量</w:t>
      </w:r>
    </w:p>
    <w:p w:rsidR="002C586A" w:rsidRPr="00075386" w:rsidRDefault="002C586A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5274310" cy="1305275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AB" w:rsidRPr="00075386" w:rsidRDefault="00A279AB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lastRenderedPageBreak/>
        <w:t>台積電</w:t>
      </w:r>
      <w:r w:rsidRPr="00075386">
        <w:rPr>
          <w:rFonts w:ascii="Times New Roman" w:eastAsia="標楷體" w:hAnsi="Times New Roman" w:cs="Times New Roman"/>
          <w:szCs w:val="24"/>
        </w:rPr>
        <w:t>(2330)</w:t>
      </w:r>
      <w:r w:rsidRPr="00075386">
        <w:rPr>
          <w:rFonts w:ascii="Times New Roman" w:eastAsia="標楷體" w:hAnsi="標楷體" w:cs="Times New Roman"/>
          <w:szCs w:val="24"/>
        </w:rPr>
        <w:t>、</w:t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  <w:r w:rsidRPr="00075386">
        <w:rPr>
          <w:rFonts w:ascii="Times New Roman" w:eastAsia="標楷體" w:hAnsi="Times New Roman" w:cs="Times New Roman"/>
          <w:szCs w:val="24"/>
        </w:rPr>
        <w:t>(3191)2015</w:t>
      </w:r>
      <w:r w:rsidRPr="00075386">
        <w:rPr>
          <w:rFonts w:ascii="Times New Roman" w:eastAsia="標楷體" w:hAnsi="標楷體" w:cs="Times New Roman"/>
          <w:szCs w:val="24"/>
        </w:rPr>
        <w:t>到</w:t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年收盤價之折線圖</w:t>
      </w:r>
    </w:p>
    <w:p w:rsidR="00F26B2A" w:rsidRPr="00075386" w:rsidRDefault="00F26B2A" w:rsidP="00BD3EC1">
      <w:pPr>
        <w:pStyle w:val="a7"/>
        <w:shd w:val="clear" w:color="auto" w:fill="FFFFFF"/>
        <w:ind w:leftChars="0" w:left="0"/>
        <w:outlineLvl w:val="2"/>
        <w:rPr>
          <w:rFonts w:ascii="Times New Roman" w:eastAsia="標楷體" w:hAnsi="Times New Roman" w:cs="Times New Roman"/>
          <w:bCs/>
          <w:color w:val="000000"/>
          <w:kern w:val="0"/>
          <w:szCs w:val="24"/>
        </w:rPr>
      </w:pP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兩樣本的收盤有明顯差異，且發現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2019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後半年收盤價皆有上升趨勢</w:t>
      </w:r>
    </w:p>
    <w:p w:rsidR="00F26B2A" w:rsidRPr="00075386" w:rsidRDefault="00A279A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461757" cy="2473570"/>
            <wp:effectExtent l="19050" t="0" r="5343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23" cy="247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A9" w:rsidRPr="00075386" w:rsidRDefault="009841A9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  <w:r w:rsidRPr="00075386">
        <w:rPr>
          <w:rFonts w:ascii="Times New Roman" w:eastAsia="標楷體" w:hAnsi="Times New Roman" w:cs="Times New Roman"/>
          <w:szCs w:val="24"/>
        </w:rPr>
        <w:t>(2330)</w:t>
      </w:r>
      <w:r w:rsidRPr="00075386">
        <w:rPr>
          <w:rFonts w:ascii="Times New Roman" w:eastAsia="標楷體" w:hAnsi="標楷體" w:cs="Times New Roman"/>
          <w:szCs w:val="24"/>
        </w:rPr>
        <w:t>、</w:t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  <w:r w:rsidRPr="00075386">
        <w:rPr>
          <w:rFonts w:ascii="Times New Roman" w:eastAsia="標楷體" w:hAnsi="Times New Roman" w:cs="Times New Roman"/>
          <w:szCs w:val="24"/>
        </w:rPr>
        <w:t>(3191)2015</w:t>
      </w:r>
      <w:r w:rsidRPr="00075386">
        <w:rPr>
          <w:rFonts w:ascii="Times New Roman" w:eastAsia="標楷體" w:hAnsi="標楷體" w:cs="Times New Roman"/>
          <w:szCs w:val="24"/>
        </w:rPr>
        <w:t>到</w:t>
      </w:r>
      <w:r w:rsidRPr="00075386">
        <w:rPr>
          <w:rFonts w:ascii="Times New Roman" w:eastAsia="標楷體" w:hAnsi="Times New Roman" w:cs="Times New Roman"/>
          <w:szCs w:val="24"/>
        </w:rPr>
        <w:t>2019</w:t>
      </w:r>
      <w:r w:rsidRPr="00075386">
        <w:rPr>
          <w:rFonts w:ascii="Times New Roman" w:eastAsia="標楷體" w:hAnsi="標楷體" w:cs="Times New Roman"/>
          <w:szCs w:val="24"/>
        </w:rPr>
        <w:t>年股價波動率之折線圖</w:t>
      </w:r>
    </w:p>
    <w:p w:rsidR="009841A9" w:rsidRPr="00075386" w:rsidRDefault="009841A9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可以發現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和進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的股價波動率比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台積電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大</w:t>
      </w:r>
    </w:p>
    <w:p w:rsidR="009841A9" w:rsidRPr="00075386" w:rsidRDefault="009841A9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594911" cy="2573216"/>
            <wp:effectExtent l="19050" t="0" r="5539" b="0"/>
            <wp:docPr id="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7" cy="257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A9" w:rsidRPr="00075386" w:rsidRDefault="009841A9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463485" cy="2347279"/>
            <wp:effectExtent l="19050" t="0" r="36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021" cy="234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BB" w:rsidRPr="00075386" w:rsidRDefault="00A715BB" w:rsidP="00BD3EC1">
      <w:pPr>
        <w:pStyle w:val="a7"/>
        <w:numPr>
          <w:ilvl w:val="0"/>
          <w:numId w:val="1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分析結果</w:t>
      </w:r>
    </w:p>
    <w:p w:rsidR="00996C1C" w:rsidRPr="00075386" w:rsidRDefault="009D3737" w:rsidP="00BD3EC1">
      <w:pPr>
        <w:pStyle w:val="a7"/>
        <w:numPr>
          <w:ilvl w:val="0"/>
          <w:numId w:val="3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自相關係數</w:t>
      </w:r>
      <w:r w:rsidRPr="00075386">
        <w:rPr>
          <w:rFonts w:ascii="Times New Roman" w:eastAsia="標楷體" w:hAnsi="Times New Roman" w:cs="Times New Roman"/>
          <w:szCs w:val="24"/>
        </w:rPr>
        <w:t>(ACF)</w:t>
      </w:r>
    </w:p>
    <w:p w:rsidR="009D3737" w:rsidRPr="00075386" w:rsidRDefault="009D3737" w:rsidP="00BD3EC1">
      <w:pPr>
        <w:pStyle w:val="a7"/>
        <w:ind w:leftChars="0" w:left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</w:p>
    <w:p w:rsidR="00996C1C" w:rsidRPr="00075386" w:rsidRDefault="009D3737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536581" cy="3675648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64" cy="367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5386">
        <w:rPr>
          <w:rFonts w:ascii="Times New Roman" w:eastAsia="標楷體" w:hAnsi="Times New Roman" w:cs="Times New Roman"/>
          <w:szCs w:val="24"/>
        </w:rPr>
        <w:t xml:space="preserve"> </w:t>
      </w: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509418" cy="3669324"/>
            <wp:effectExtent l="19050" t="0" r="5182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304" cy="366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1C4" w:rsidRPr="00075386" w:rsidRDefault="005541C4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結果顯示，台積電的股價報酬率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階與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17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階自相關係數顯著不為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，和進的股價報酬率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階與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22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階自相關係數顯著不為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0</w:t>
      </w:r>
      <w:r w:rsidR="008304CC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D3EC1" w:rsidRPr="00075386" w:rsidRDefault="00BD3EC1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</w:p>
    <w:p w:rsidR="00B21AA8" w:rsidRPr="00075386" w:rsidRDefault="001D6755" w:rsidP="00BD3EC1">
      <w:pPr>
        <w:pStyle w:val="a7"/>
        <w:numPr>
          <w:ilvl w:val="0"/>
          <w:numId w:val="3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偏自</w:t>
      </w:r>
      <w:r w:rsidR="00215B34" w:rsidRPr="00075386">
        <w:rPr>
          <w:rFonts w:ascii="Times New Roman" w:eastAsia="標楷體" w:hAnsi="標楷體" w:cs="Times New Roman"/>
          <w:szCs w:val="24"/>
        </w:rPr>
        <w:t>相關</w:t>
      </w:r>
      <w:r w:rsidRPr="00075386">
        <w:rPr>
          <w:rFonts w:ascii="Times New Roman" w:eastAsia="標楷體" w:hAnsi="標楷體" w:cs="Times New Roman"/>
          <w:szCs w:val="24"/>
        </w:rPr>
        <w:t>係數</w:t>
      </w:r>
      <w:r w:rsidRPr="00075386">
        <w:rPr>
          <w:rFonts w:ascii="Times New Roman" w:eastAsia="標楷體" w:hAnsi="Times New Roman" w:cs="Times New Roman"/>
          <w:szCs w:val="24"/>
        </w:rPr>
        <w:t>(PACF)</w:t>
      </w:r>
    </w:p>
    <w:p w:rsidR="00B21AA8" w:rsidRPr="00075386" w:rsidRDefault="00B21AA8" w:rsidP="00BD3EC1">
      <w:pPr>
        <w:pStyle w:val="a7"/>
        <w:ind w:leftChars="0" w:left="960" w:firstLine="48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</w:p>
    <w:p w:rsidR="009023CB" w:rsidRPr="00075386" w:rsidRDefault="00B21AA8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469381" cy="3616569"/>
            <wp:effectExtent l="19050" t="0" r="7119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77" cy="361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560027" cy="3710322"/>
            <wp:effectExtent l="1905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028" cy="371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EEB" w:rsidRPr="00075386" w:rsidRDefault="00976EEB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sz w:val="24"/>
          <w:szCs w:val="24"/>
        </w:rPr>
        <w:t>結果顯示，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台積電當期的股價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報酬率跟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、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17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、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26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階落後顯著相關，和進當期的股價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報酬率跟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、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22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階落後顯著相關</w:t>
      </w:r>
    </w:p>
    <w:p w:rsidR="009023CB" w:rsidRPr="00075386" w:rsidRDefault="00877889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3.</w:t>
      </w:r>
      <w:proofErr w:type="gramStart"/>
      <w:r w:rsidRPr="00075386">
        <w:rPr>
          <w:rFonts w:ascii="Times New Roman" w:eastAsia="標楷體" w:hAnsi="標楷體" w:cs="Times New Roman"/>
          <w:szCs w:val="24"/>
        </w:rPr>
        <w:t>單根檢定</w:t>
      </w:r>
      <w:proofErr w:type="gramEnd"/>
      <w:r w:rsidRPr="00075386">
        <w:rPr>
          <w:rFonts w:ascii="Times New Roman" w:eastAsia="標楷體" w:hAnsi="Times New Roman" w:cs="Times New Roman"/>
          <w:szCs w:val="24"/>
        </w:rPr>
        <w:t>(ADF-Test)</w:t>
      </w:r>
    </w:p>
    <w:p w:rsidR="009023CB" w:rsidRPr="00075386" w:rsidRDefault="00FF4122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079381" cy="1108224"/>
            <wp:effectExtent l="1905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27" cy="110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122" w:rsidRPr="00075386" w:rsidRDefault="00FF4122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-37.55&lt;-3.436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，所以拒絕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，也就是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拒絕單根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，故台積電的股價報酬率為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定態</w:t>
      </w:r>
      <w:proofErr w:type="gramEnd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="002E1499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9023CB" w:rsidRPr="00075386" w:rsidRDefault="00FF4122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079381" cy="1125688"/>
            <wp:effectExtent l="1905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00" cy="11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99" w:rsidRPr="00075386" w:rsidRDefault="002E1499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-30.16&lt;-3.436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，所以拒絕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，也就是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拒絕單根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，故和進的股價報酬率為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定態</w:t>
      </w:r>
      <w:proofErr w:type="gramEnd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"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9023CB" w:rsidRPr="00075386" w:rsidRDefault="00CF3C0F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4.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標楷體" w:cs="Times New Roman"/>
          <w:szCs w:val="24"/>
        </w:rPr>
        <w:t>白雜訊檢定</w:t>
      </w:r>
      <w:r w:rsidRPr="00075386">
        <w:rPr>
          <w:rFonts w:ascii="Times New Roman" w:eastAsia="標楷體" w:hAnsi="Times New Roman" w:cs="Times New Roman"/>
          <w:szCs w:val="24"/>
        </w:rPr>
        <w:t>(Lung-Box Test)</w:t>
      </w:r>
    </w:p>
    <w:p w:rsidR="00C108C6" w:rsidRPr="00075386" w:rsidRDefault="00C108C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ab/>
      </w:r>
      <w:proofErr w:type="gramStart"/>
      <w:r w:rsidRPr="00075386">
        <w:rPr>
          <w:rFonts w:ascii="Times New Roman" w:eastAsia="標楷體" w:hAnsi="Times New Roman" w:cs="Times New Roman"/>
          <w:szCs w:val="24"/>
        </w:rPr>
        <w:t>a</w:t>
      </w:r>
      <w:proofErr w:type="gramEnd"/>
      <w:r w:rsidRPr="00075386">
        <w:rPr>
          <w:rFonts w:ascii="Times New Roman" w:eastAsia="標楷體" w:hAnsi="Times New Roman" w:cs="Times New Roman"/>
          <w:szCs w:val="24"/>
        </w:rPr>
        <w:t>.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標楷體" w:cs="Times New Roman"/>
          <w:szCs w:val="24"/>
        </w:rPr>
        <w:t>台積電</w:t>
      </w:r>
    </w:p>
    <w:p w:rsidR="009023CB" w:rsidRPr="00075386" w:rsidRDefault="00C108C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462704" cy="1319281"/>
            <wp:effectExtent l="19050" t="0" r="4396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64" cy="131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8C6" w:rsidRPr="00075386" w:rsidRDefault="00C108C6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可以發現，第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、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P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值皆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&lt;0.05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，故為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不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隨機，而其餘的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P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值皆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&gt;0.05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，接受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，故為隨機</w:t>
      </w:r>
      <w:r w:rsidR="00F475E6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9023CB" w:rsidRPr="00075386" w:rsidRDefault="00C108C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ab/>
      </w:r>
      <w:proofErr w:type="gramStart"/>
      <w:r w:rsidRPr="00075386">
        <w:rPr>
          <w:rFonts w:ascii="Times New Roman" w:eastAsia="標楷體" w:hAnsi="Times New Roman" w:cs="Times New Roman"/>
          <w:szCs w:val="24"/>
        </w:rPr>
        <w:t>b</w:t>
      </w:r>
      <w:proofErr w:type="gramEnd"/>
      <w:r w:rsidRPr="00075386">
        <w:rPr>
          <w:rFonts w:ascii="Times New Roman" w:eastAsia="標楷體" w:hAnsi="Times New Roman" w:cs="Times New Roman"/>
          <w:szCs w:val="24"/>
        </w:rPr>
        <w:t>.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="0083357A" w:rsidRPr="00075386">
        <w:rPr>
          <w:rFonts w:ascii="Times New Roman" w:eastAsia="標楷體" w:hAnsi="標楷體" w:cs="Times New Roman"/>
          <w:szCs w:val="24"/>
        </w:rPr>
        <w:t>和進</w:t>
      </w:r>
    </w:p>
    <w:p w:rsidR="009023CB" w:rsidRPr="00075386" w:rsidRDefault="00C108C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550627" cy="1541975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655" cy="154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8C6" w:rsidRPr="00075386" w:rsidRDefault="00C108C6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可以發現，第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到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30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階的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P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值皆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&lt;0.05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，故和進的股價報酬率為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不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隨機</w:t>
      </w:r>
      <w:r w:rsidR="00F475E6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C108C6" w:rsidRPr="00075386" w:rsidRDefault="0052521B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ARMA</w:t>
      </w:r>
      <w:r w:rsidRPr="00075386">
        <w:rPr>
          <w:rFonts w:ascii="Times New Roman" w:eastAsia="標楷體" w:hAnsi="標楷體" w:cs="Times New Roman"/>
          <w:szCs w:val="24"/>
        </w:rPr>
        <w:t>模型</w:t>
      </w:r>
    </w:p>
    <w:p w:rsidR="00924F66" w:rsidRPr="00075386" w:rsidRDefault="00924F66" w:rsidP="00BD3EC1">
      <w:pPr>
        <w:pStyle w:val="a7"/>
        <w:numPr>
          <w:ilvl w:val="0"/>
          <w:numId w:val="4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</w:p>
    <w:p w:rsidR="0052521B" w:rsidRPr="00075386" w:rsidRDefault="00924F6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431887" cy="2696308"/>
            <wp:effectExtent l="19050" t="0" r="6513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87" cy="269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5386">
        <w:rPr>
          <w:rFonts w:ascii="Times New Roman" w:eastAsia="標楷體" w:hAnsi="Times New Roman" w:cs="Times New Roman"/>
          <w:szCs w:val="24"/>
        </w:rPr>
        <w:t xml:space="preserve"> </w:t>
      </w: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541188" cy="3440723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08" cy="344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8C6" w:rsidRPr="00075386" w:rsidRDefault="00924F6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proofErr w:type="gramStart"/>
      <w:r w:rsidRPr="00075386">
        <w:rPr>
          <w:rFonts w:ascii="Times New Roman" w:eastAsia="標楷體" w:hAnsi="Times New Roman" w:cs="Times New Roman"/>
          <w:szCs w:val="24"/>
        </w:rPr>
        <w:t>ARMA(</w:t>
      </w:r>
      <w:proofErr w:type="gramEnd"/>
      <w:r w:rsidRPr="00075386">
        <w:rPr>
          <w:rFonts w:ascii="Times New Roman" w:eastAsia="標楷體" w:hAnsi="Times New Roman" w:cs="Times New Roman"/>
          <w:szCs w:val="24"/>
        </w:rPr>
        <w:t>1,1)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  <w:t>ARMA(2,2)</w:t>
      </w:r>
    </w:p>
    <w:p w:rsidR="00D674CE" w:rsidRPr="00075386" w:rsidRDefault="008C7E5A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得出台積電的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ARMA(1,1)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模型為：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Yt=0.001+0.5915Y(t-1)-0.6594ξ(t-1)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，且係數皆顯著。</w:t>
      </w:r>
    </w:p>
    <w:p w:rsidR="00C108C6" w:rsidRPr="00075386" w:rsidRDefault="008C7E5A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模型為：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Yt=0.001-0.069Y(t-1)-0.9868Y(t-2)+0.0524ξ(t-1)+1ξ(t-2)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，且係數皆顯著。由於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AIC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比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ARMA(1,1)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AIC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小，故這邊選用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C108C6" w:rsidRPr="00075386" w:rsidRDefault="0083357A" w:rsidP="00BD3EC1">
      <w:pPr>
        <w:pStyle w:val="a7"/>
        <w:numPr>
          <w:ilvl w:val="0"/>
          <w:numId w:val="4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和進</w:t>
      </w:r>
    </w:p>
    <w:p w:rsidR="00C108C6" w:rsidRPr="00075386" w:rsidRDefault="00863C02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466242" cy="2696101"/>
            <wp:effectExtent l="1905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30" cy="269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5386">
        <w:rPr>
          <w:rFonts w:ascii="Times New Roman" w:eastAsia="標楷體" w:hAnsi="Times New Roman" w:cs="Times New Roman"/>
          <w:szCs w:val="24"/>
        </w:rPr>
        <w:t xml:space="preserve"> </w:t>
      </w: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649429" cy="3610708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76" cy="361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C02" w:rsidRPr="00075386" w:rsidRDefault="00863C02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proofErr w:type="gramStart"/>
      <w:r w:rsidRPr="00075386">
        <w:rPr>
          <w:rFonts w:ascii="Times New Roman" w:eastAsia="標楷體" w:hAnsi="Times New Roman" w:cs="Times New Roman"/>
          <w:szCs w:val="24"/>
        </w:rPr>
        <w:t>ARMA(</w:t>
      </w:r>
      <w:proofErr w:type="gramEnd"/>
      <w:r w:rsidRPr="00075386">
        <w:rPr>
          <w:rFonts w:ascii="Times New Roman" w:eastAsia="標楷體" w:hAnsi="Times New Roman" w:cs="Times New Roman"/>
          <w:szCs w:val="24"/>
        </w:rPr>
        <w:t>1,1)</w:t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</w:r>
      <w:r w:rsidRPr="00075386">
        <w:rPr>
          <w:rFonts w:ascii="Times New Roman" w:eastAsia="標楷體" w:hAnsi="Times New Roman" w:cs="Times New Roman"/>
          <w:szCs w:val="24"/>
        </w:rPr>
        <w:tab/>
        <w:t>ARMA(2,2)</w:t>
      </w:r>
    </w:p>
    <w:p w:rsidR="00BB1FCA" w:rsidRPr="00075386" w:rsidRDefault="00BB1FCA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發現</w:t>
      </w:r>
      <w:r w:rsidR="0083357A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和進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ARMA(1,1)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、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的係數皆不顯著，但為了要比較觀察兩者的預測能力，所以也是用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來做預測。</w:t>
      </w:r>
    </w:p>
    <w:p w:rsidR="002C571F" w:rsidRPr="00075386" w:rsidRDefault="002C571F" w:rsidP="00BD3EC1">
      <w:pPr>
        <w:pStyle w:val="3"/>
        <w:widowControl w:val="0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 w:firstLine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檢查台積電與</w:t>
      </w:r>
      <w:r w:rsidR="0083357A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和進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個別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殘差做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隨機性檢定</w:t>
      </w:r>
    </w:p>
    <w:p w:rsidR="00331FE0" w:rsidRPr="00075386" w:rsidRDefault="00331FE0" w:rsidP="00BD3EC1">
      <w:pPr>
        <w:pStyle w:val="3"/>
        <w:widowControl w:val="0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台積電</w:t>
      </w:r>
    </w:p>
    <w:p w:rsidR="00C108C6" w:rsidRPr="00075386" w:rsidRDefault="00C52B5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3150" cy="1663861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80" cy="166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EA8"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1487365" cy="2143247"/>
            <wp:effectExtent l="1905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907" cy="214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8C6" w:rsidRPr="00075386" w:rsidRDefault="00586CA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白雜訊：</w:t>
      </w:r>
    </w:p>
    <w:p w:rsidR="00586CA6" w:rsidRPr="00075386" w:rsidRDefault="00586CA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5274310" cy="772338"/>
            <wp:effectExtent l="1905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569" w:rsidRPr="00075386" w:rsidRDefault="00074569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p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值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&gt;0.05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，故不拒絕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，表示為隨機。</w:t>
      </w:r>
    </w:p>
    <w:p w:rsidR="00C108C6" w:rsidRPr="00075386" w:rsidRDefault="0083357A" w:rsidP="00BD3EC1">
      <w:pPr>
        <w:pStyle w:val="a7"/>
        <w:numPr>
          <w:ilvl w:val="0"/>
          <w:numId w:val="5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和進</w:t>
      </w:r>
    </w:p>
    <w:p w:rsidR="00C108C6" w:rsidRPr="00075386" w:rsidRDefault="00BD512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128596" cy="2176970"/>
            <wp:effectExtent l="1905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79" cy="217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1748983" cy="2555631"/>
            <wp:effectExtent l="19050" t="0" r="3617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654" cy="255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BB" w:rsidRPr="00075386" w:rsidRDefault="00157FB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白雜訊：</w:t>
      </w:r>
    </w:p>
    <w:p w:rsidR="00C108C6" w:rsidRPr="00075386" w:rsidRDefault="00157FB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5274310" cy="911809"/>
            <wp:effectExtent l="1905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6FA" w:rsidRPr="00075386" w:rsidRDefault="000956FA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p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值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&gt;0.05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，故不拒絕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H0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，表示為隨機。</w:t>
      </w:r>
    </w:p>
    <w:p w:rsidR="00C108C6" w:rsidRPr="00075386" w:rsidRDefault="00582467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預測未來兩季的股價報酬率</w:t>
      </w:r>
      <w:r w:rsidRPr="00075386">
        <w:rPr>
          <w:rFonts w:ascii="Times New Roman" w:eastAsia="標楷體" w:hAnsi="Times New Roman" w:cs="Times New Roman"/>
          <w:szCs w:val="24"/>
        </w:rPr>
        <w:t>(2020/1/1-2020/6/30)</w:t>
      </w:r>
    </w:p>
    <w:p w:rsidR="009023CB" w:rsidRPr="00075386" w:rsidRDefault="000D23F9" w:rsidP="00BD3EC1">
      <w:pPr>
        <w:pStyle w:val="a7"/>
        <w:numPr>
          <w:ilvl w:val="0"/>
          <w:numId w:val="6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</w:p>
    <w:p w:rsidR="009023CB" w:rsidRPr="00075386" w:rsidRDefault="000D23F9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409950" cy="2343756"/>
            <wp:effectExtent l="1905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86" cy="234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3F9" w:rsidRPr="00075386" w:rsidRDefault="00B94EC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409950" cy="2243224"/>
            <wp:effectExtent l="1905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049" cy="224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150" w:rsidRPr="00075386" w:rsidRDefault="002A7150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透過上圖可以看到預測只捕捉到</w:t>
      </w:r>
      <w:r w:rsidR="00AA103E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平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均值，波動或是周期性的訊息幾乎都沒捕捉到。但透過綠色部分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(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預測的上界與下界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，可以發現實際報酬率幾乎都落在上、下界之中。若放大來看，預測的平均會比實際平均報酬率還要高</w:t>
      </w:r>
      <w:r w:rsidR="00AA103E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。</w:t>
      </w:r>
    </w:p>
    <w:p w:rsidR="000D23F9" w:rsidRPr="00075386" w:rsidRDefault="0083357A" w:rsidP="00BD3EC1">
      <w:pPr>
        <w:pStyle w:val="a7"/>
        <w:numPr>
          <w:ilvl w:val="0"/>
          <w:numId w:val="6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和進</w:t>
      </w:r>
    </w:p>
    <w:p w:rsidR="000D23F9" w:rsidRPr="00075386" w:rsidRDefault="004C0AC1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330131" cy="2280139"/>
            <wp:effectExtent l="19050" t="0" r="3619" b="0"/>
            <wp:docPr id="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81" cy="228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3F9" w:rsidRPr="00075386" w:rsidRDefault="0083357A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518926" cy="2394360"/>
            <wp:effectExtent l="19050" t="0" r="5324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70" cy="239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DED" w:rsidRPr="00075386" w:rsidRDefault="00F11DED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發現由於</w:t>
      </w:r>
      <w:r w:rsidR="0083357A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和進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ARMA(2,2)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係數不顯著，在第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27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期後就收斂到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0.00118481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，那之後的預測值皆相同。綠色部分，實際報酬率幾乎都落在上、下界之中。預測的平均跟台積電一樣，會比實際平均報酬率還要高。</w:t>
      </w:r>
    </w:p>
    <w:p w:rsidR="000D23F9" w:rsidRPr="00075386" w:rsidRDefault="000D23F9" w:rsidP="00BD3EC1">
      <w:pPr>
        <w:rPr>
          <w:rFonts w:ascii="Times New Roman" w:eastAsia="標楷體" w:hAnsi="Times New Roman" w:cs="Times New Roman"/>
          <w:szCs w:val="24"/>
        </w:rPr>
      </w:pPr>
    </w:p>
    <w:p w:rsidR="00451D3C" w:rsidRPr="00075386" w:rsidRDefault="00A54F14" w:rsidP="00BD3EC1">
      <w:pPr>
        <w:pStyle w:val="HTML"/>
        <w:widowControl w:val="0"/>
        <w:shd w:val="clear" w:color="auto" w:fill="FFFFFF"/>
        <w:textAlignment w:val="baseline"/>
        <w:rPr>
          <w:rFonts w:ascii="Times New Roman" w:eastAsia="標楷體" w:hAnsi="Times New Roman" w:cs="Times New Roman"/>
        </w:rPr>
      </w:pPr>
      <w:r w:rsidRPr="00075386">
        <w:rPr>
          <w:rFonts w:ascii="Times New Roman" w:eastAsia="標楷體" w:hAnsi="標楷體" w:cs="Times New Roman"/>
        </w:rPr>
        <w:t>由於</w:t>
      </w:r>
      <w:r w:rsidR="0083357A" w:rsidRPr="00075386">
        <w:rPr>
          <w:rFonts w:ascii="Times New Roman" w:eastAsia="標楷體" w:hAnsi="標楷體" w:cs="Times New Roman"/>
        </w:rPr>
        <w:t>和進</w:t>
      </w:r>
      <w:r w:rsidRPr="00075386">
        <w:rPr>
          <w:rFonts w:ascii="Times New Roman" w:eastAsia="標楷體" w:hAnsi="標楷體" w:cs="Times New Roman"/>
        </w:rPr>
        <w:t>的</w:t>
      </w:r>
      <w:r w:rsidRPr="00075386">
        <w:rPr>
          <w:rFonts w:ascii="Times New Roman" w:eastAsia="標楷體" w:hAnsi="Times New Roman" w:cs="Times New Roman"/>
        </w:rPr>
        <w:t>ARMA(2,2)</w:t>
      </w:r>
      <w:r w:rsidRPr="00075386">
        <w:rPr>
          <w:rFonts w:ascii="Times New Roman" w:eastAsia="標楷體" w:hAnsi="標楷體" w:cs="Times New Roman"/>
        </w:rPr>
        <w:t>模型</w:t>
      </w:r>
      <w:r w:rsidR="00451D3C" w:rsidRPr="00075386">
        <w:rPr>
          <w:rFonts w:ascii="Times New Roman" w:eastAsia="標楷體" w:hAnsi="標楷體" w:cs="Times New Roman"/>
        </w:rPr>
        <w:t>的預測結果，在第</w:t>
      </w:r>
      <w:r w:rsidR="006D2C6D" w:rsidRPr="00075386">
        <w:rPr>
          <w:rFonts w:ascii="Times New Roman" w:eastAsia="標楷體" w:hAnsi="Times New Roman" w:cs="Times New Roman"/>
        </w:rPr>
        <w:t>27</w:t>
      </w:r>
      <w:r w:rsidR="00451D3C" w:rsidRPr="00075386">
        <w:rPr>
          <w:rFonts w:ascii="Times New Roman" w:eastAsia="標楷體" w:hAnsi="標楷體" w:cs="Times New Roman"/>
        </w:rPr>
        <w:t>期後就收斂到</w:t>
      </w:r>
      <w:r w:rsidR="006D2C6D" w:rsidRPr="00075386">
        <w:rPr>
          <w:rFonts w:ascii="Times New Roman" w:eastAsia="標楷體" w:hAnsi="Times New Roman" w:cs="Times New Roman"/>
          <w:color w:val="000000"/>
        </w:rPr>
        <w:t>0.00118481</w:t>
      </w:r>
      <w:r w:rsidR="00451D3C" w:rsidRPr="00075386">
        <w:rPr>
          <w:rFonts w:ascii="Times New Roman" w:eastAsia="標楷體" w:hAnsi="標楷體" w:cs="Times New Roman"/>
        </w:rPr>
        <w:t>，那之後的預測值皆相同</w:t>
      </w:r>
      <w:r w:rsidR="003217D7" w:rsidRPr="00075386">
        <w:rPr>
          <w:rFonts w:ascii="Times New Roman" w:eastAsia="標楷體" w:hAnsi="標楷體" w:cs="Times New Roman"/>
        </w:rPr>
        <w:t>，且模型的係數</w:t>
      </w:r>
      <w:r w:rsidR="00884794" w:rsidRPr="00075386">
        <w:rPr>
          <w:rFonts w:ascii="Times New Roman" w:eastAsia="標楷體" w:hAnsi="標楷體" w:cs="Times New Roman"/>
        </w:rPr>
        <w:t>並</w:t>
      </w:r>
      <w:r w:rsidR="003217D7" w:rsidRPr="00075386">
        <w:rPr>
          <w:rFonts w:ascii="Times New Roman" w:eastAsia="標楷體" w:hAnsi="標楷體" w:cs="Times New Roman"/>
        </w:rPr>
        <w:t>不顯著</w:t>
      </w:r>
      <w:r w:rsidR="006D2C6D" w:rsidRPr="00075386">
        <w:rPr>
          <w:rFonts w:ascii="Times New Roman" w:eastAsia="標楷體" w:hAnsi="標楷體" w:cs="Times New Roman"/>
        </w:rPr>
        <w:t>，</w:t>
      </w:r>
      <w:r w:rsidR="00451D3C" w:rsidRPr="00075386">
        <w:rPr>
          <w:rFonts w:ascii="Times New Roman" w:eastAsia="標楷體" w:hAnsi="標楷體" w:cs="Times New Roman"/>
        </w:rPr>
        <w:t>所以我這邊加以測試</w:t>
      </w:r>
      <w:r w:rsidR="00451D3C" w:rsidRPr="00075386">
        <w:rPr>
          <w:rFonts w:ascii="Times New Roman" w:eastAsia="標楷體" w:hAnsi="Times New Roman" w:cs="Times New Roman"/>
        </w:rPr>
        <w:t>ARMA(4,4)</w:t>
      </w:r>
      <w:r w:rsidR="00451D3C" w:rsidRPr="00075386">
        <w:rPr>
          <w:rFonts w:ascii="Times New Roman" w:eastAsia="標楷體" w:hAnsi="標楷體" w:cs="Times New Roman"/>
        </w:rPr>
        <w:t>的模型，因為</w:t>
      </w:r>
      <w:r w:rsidR="00031C63" w:rsidRPr="00075386">
        <w:rPr>
          <w:rFonts w:ascii="Times New Roman" w:eastAsia="標楷體" w:hAnsi="標楷體" w:cs="Times New Roman"/>
        </w:rPr>
        <w:t>它</w:t>
      </w:r>
      <w:r w:rsidR="00451D3C" w:rsidRPr="00075386">
        <w:rPr>
          <w:rFonts w:ascii="Times New Roman" w:eastAsia="標楷體" w:hAnsi="標楷體" w:cs="Times New Roman"/>
        </w:rPr>
        <w:t>的係數有顯著。</w:t>
      </w:r>
    </w:p>
    <w:p w:rsidR="009023CB" w:rsidRPr="00075386" w:rsidRDefault="0083357A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和進</w:t>
      </w:r>
      <w:r w:rsidR="00AE78BA" w:rsidRPr="00075386">
        <w:rPr>
          <w:rFonts w:ascii="Times New Roman" w:eastAsia="標楷體" w:hAnsi="標楷體" w:cs="Times New Roman"/>
          <w:szCs w:val="24"/>
        </w:rPr>
        <w:t>股價報酬率的</w:t>
      </w:r>
      <w:r w:rsidR="009023CB" w:rsidRPr="00075386">
        <w:rPr>
          <w:rFonts w:ascii="Times New Roman" w:eastAsia="標楷體" w:hAnsi="Times New Roman" w:cs="Times New Roman"/>
          <w:szCs w:val="24"/>
        </w:rPr>
        <w:t>ARMA(</w:t>
      </w:r>
      <w:r w:rsidR="00AE78BA" w:rsidRPr="00075386">
        <w:rPr>
          <w:rFonts w:ascii="Times New Roman" w:eastAsia="標楷體" w:hAnsi="Times New Roman" w:cs="Times New Roman"/>
          <w:szCs w:val="24"/>
        </w:rPr>
        <w:t>4,4)</w:t>
      </w:r>
      <w:r w:rsidR="00AE78BA" w:rsidRPr="00075386">
        <w:rPr>
          <w:rFonts w:ascii="Times New Roman" w:eastAsia="標楷體" w:hAnsi="標楷體" w:cs="Times New Roman"/>
          <w:szCs w:val="24"/>
        </w:rPr>
        <w:t>模型公式如下：</w:t>
      </w:r>
    </w:p>
    <w:p w:rsidR="009023CB" w:rsidRPr="00075386" w:rsidRDefault="009023C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Yt=</w:t>
      </w:r>
      <w:r w:rsidRPr="00075386">
        <w:rPr>
          <w:rFonts w:ascii="Times New Roman" w:eastAsia="標楷體" w:hAnsi="Times New Roman" w:cs="Times New Roman"/>
          <w:color w:val="000000"/>
          <w:szCs w:val="24"/>
        </w:rPr>
        <w:t>0.0012</w:t>
      </w:r>
      <w:r w:rsidRPr="00075386">
        <w:rPr>
          <w:rFonts w:ascii="Times New Roman" w:eastAsia="標楷體" w:hAnsi="Times New Roman" w:cs="Times New Roman"/>
          <w:szCs w:val="24"/>
        </w:rPr>
        <w:t>+1.4926</w:t>
      </w:r>
      <w:r w:rsidR="00451D3C" w:rsidRPr="00075386">
        <w:rPr>
          <w:rFonts w:ascii="Times New Roman" w:eastAsia="標楷體" w:hAnsi="Times New Roman" w:cs="Times New Roman"/>
          <w:szCs w:val="24"/>
        </w:rPr>
        <w:t>Y</w:t>
      </w:r>
      <w:r w:rsidRPr="00075386">
        <w:rPr>
          <w:rFonts w:ascii="Times New Roman" w:eastAsia="標楷體" w:hAnsi="Times New Roman" w:cs="Times New Roman"/>
          <w:szCs w:val="24"/>
        </w:rPr>
        <w:t>(t-1)-1.4956</w:t>
      </w:r>
      <w:r w:rsidR="00451D3C" w:rsidRPr="00075386">
        <w:rPr>
          <w:rFonts w:ascii="Times New Roman" w:eastAsia="標楷體" w:hAnsi="Times New Roman" w:cs="Times New Roman"/>
          <w:szCs w:val="24"/>
        </w:rPr>
        <w:t>Y</w:t>
      </w:r>
      <w:r w:rsidRPr="00075386">
        <w:rPr>
          <w:rFonts w:ascii="Times New Roman" w:eastAsia="標楷體" w:hAnsi="Times New Roman" w:cs="Times New Roman"/>
          <w:szCs w:val="24"/>
        </w:rPr>
        <w:t>(t-2)+0.9292</w:t>
      </w:r>
      <w:r w:rsidR="00451D3C" w:rsidRPr="00075386">
        <w:rPr>
          <w:rFonts w:ascii="Times New Roman" w:eastAsia="標楷體" w:hAnsi="Times New Roman" w:cs="Times New Roman"/>
          <w:szCs w:val="24"/>
        </w:rPr>
        <w:t>Y</w:t>
      </w:r>
      <w:r w:rsidRPr="00075386">
        <w:rPr>
          <w:rFonts w:ascii="Times New Roman" w:eastAsia="標楷體" w:hAnsi="Times New Roman" w:cs="Times New Roman"/>
          <w:szCs w:val="24"/>
        </w:rPr>
        <w:t>(t-3)+0.0037</w:t>
      </w:r>
      <w:r w:rsidR="00451D3C" w:rsidRPr="00075386">
        <w:rPr>
          <w:rFonts w:ascii="Times New Roman" w:eastAsia="標楷體" w:hAnsi="Times New Roman" w:cs="Times New Roman"/>
          <w:szCs w:val="24"/>
        </w:rPr>
        <w:t>Y</w:t>
      </w:r>
      <w:r w:rsidRPr="00075386">
        <w:rPr>
          <w:rFonts w:ascii="Times New Roman" w:eastAsia="標楷體" w:hAnsi="Times New Roman" w:cs="Times New Roman"/>
          <w:szCs w:val="24"/>
        </w:rPr>
        <w:t>(t-4)-1.343ξ(t-1)+1.2688ξ(t-2)-0.6999ξ(t-3)-0.1264ξ(t-4)</w:t>
      </w:r>
    </w:p>
    <w:p w:rsidR="006D2C6D" w:rsidRPr="00075386" w:rsidRDefault="00451D3C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其中，</w:t>
      </w:r>
      <w:r w:rsidR="006D2C6D" w:rsidRPr="00075386">
        <w:rPr>
          <w:rFonts w:ascii="Times New Roman" w:eastAsia="標楷體" w:hAnsi="Times New Roman" w:cs="Times New Roman"/>
          <w:szCs w:val="24"/>
        </w:rPr>
        <w:t>Y(t-1)</w:t>
      </w:r>
      <w:r w:rsidR="006D2C6D" w:rsidRPr="00075386">
        <w:rPr>
          <w:rFonts w:ascii="Times New Roman" w:eastAsia="標楷體" w:hAnsi="標楷體" w:cs="Times New Roman"/>
          <w:szCs w:val="24"/>
        </w:rPr>
        <w:t>、</w:t>
      </w:r>
      <w:r w:rsidR="006D2C6D" w:rsidRPr="00075386">
        <w:rPr>
          <w:rFonts w:ascii="Times New Roman" w:eastAsia="標楷體" w:hAnsi="Times New Roman" w:cs="Times New Roman"/>
          <w:szCs w:val="24"/>
        </w:rPr>
        <w:t>Y(t-2)</w:t>
      </w:r>
      <w:r w:rsidR="006D2C6D" w:rsidRPr="00075386">
        <w:rPr>
          <w:rFonts w:ascii="Times New Roman" w:eastAsia="標楷體" w:hAnsi="標楷體" w:cs="Times New Roman"/>
          <w:szCs w:val="24"/>
        </w:rPr>
        <w:t>、</w:t>
      </w:r>
      <w:r w:rsidR="006D2C6D" w:rsidRPr="00075386">
        <w:rPr>
          <w:rFonts w:ascii="Times New Roman" w:eastAsia="標楷體" w:hAnsi="Times New Roman" w:cs="Times New Roman"/>
          <w:szCs w:val="24"/>
        </w:rPr>
        <w:t>Y(t-3)</w:t>
      </w:r>
      <w:r w:rsidR="006D2C6D" w:rsidRPr="00075386">
        <w:rPr>
          <w:rFonts w:ascii="Times New Roman" w:eastAsia="標楷體" w:hAnsi="標楷體" w:cs="Times New Roman"/>
          <w:szCs w:val="24"/>
        </w:rPr>
        <w:t>、</w:t>
      </w:r>
      <w:r w:rsidR="006D2C6D" w:rsidRPr="00075386">
        <w:rPr>
          <w:rFonts w:ascii="Times New Roman" w:eastAsia="標楷體" w:hAnsi="Times New Roman" w:cs="Times New Roman"/>
          <w:szCs w:val="24"/>
        </w:rPr>
        <w:t>ξ(t-1)</w:t>
      </w:r>
      <w:r w:rsidR="006D2C6D" w:rsidRPr="00075386">
        <w:rPr>
          <w:rFonts w:ascii="Times New Roman" w:eastAsia="標楷體" w:hAnsi="標楷體" w:cs="Times New Roman"/>
          <w:szCs w:val="24"/>
        </w:rPr>
        <w:t>、</w:t>
      </w:r>
      <w:r w:rsidR="006D2C6D" w:rsidRPr="00075386">
        <w:rPr>
          <w:rFonts w:ascii="Times New Roman" w:eastAsia="標楷體" w:hAnsi="Times New Roman" w:cs="Times New Roman"/>
          <w:szCs w:val="24"/>
        </w:rPr>
        <w:t>ξ(t-2)</w:t>
      </w:r>
      <w:r w:rsidR="006D2C6D" w:rsidRPr="00075386">
        <w:rPr>
          <w:rFonts w:ascii="Times New Roman" w:eastAsia="標楷體" w:hAnsi="標楷體" w:cs="Times New Roman"/>
          <w:szCs w:val="24"/>
        </w:rPr>
        <w:t>、</w:t>
      </w:r>
      <w:r w:rsidR="006D2C6D" w:rsidRPr="00075386">
        <w:rPr>
          <w:rFonts w:ascii="Times New Roman" w:eastAsia="標楷體" w:hAnsi="Times New Roman" w:cs="Times New Roman"/>
          <w:szCs w:val="24"/>
        </w:rPr>
        <w:t>ξ(t-3)</w:t>
      </w:r>
      <w:r w:rsidR="006D2C6D" w:rsidRPr="00075386">
        <w:rPr>
          <w:rFonts w:ascii="Times New Roman" w:eastAsia="標楷體" w:hAnsi="標楷體" w:cs="Times New Roman"/>
          <w:szCs w:val="24"/>
        </w:rPr>
        <w:t>皆顯著。</w:t>
      </w:r>
    </w:p>
    <w:p w:rsidR="00A715BB" w:rsidRPr="00075386" w:rsidRDefault="00E636FB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197665" cy="2233998"/>
            <wp:effectExtent l="19050" t="0" r="2735" b="0"/>
            <wp:docPr id="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21" cy="223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51" w:rsidRPr="00075386" w:rsidRDefault="00C00506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196395" cy="2175454"/>
            <wp:effectExtent l="19050" t="0" r="4005" b="0"/>
            <wp:docPr id="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42" cy="217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3CB" w:rsidRPr="00075386" w:rsidRDefault="000B1E51" w:rsidP="00BD3EC1">
      <w:pPr>
        <w:rPr>
          <w:rFonts w:ascii="Times New Roman" w:eastAsia="標楷體" w:hAnsi="Times New Roman" w:cs="Times New Roman"/>
          <w:noProof/>
          <w:szCs w:val="24"/>
        </w:rPr>
      </w:pPr>
      <w:r w:rsidRPr="00075386">
        <w:rPr>
          <w:rFonts w:ascii="Times New Roman" w:eastAsia="標楷體" w:hAnsi="標楷體" w:cs="Times New Roman"/>
          <w:noProof/>
          <w:szCs w:val="24"/>
        </w:rPr>
        <w:t>由此結果可知，</w:t>
      </w:r>
      <w:r w:rsidR="006061A1" w:rsidRPr="00075386">
        <w:rPr>
          <w:rFonts w:ascii="Times New Roman" w:eastAsia="標楷體" w:hAnsi="標楷體" w:cs="Times New Roman"/>
          <w:noProof/>
          <w:szCs w:val="24"/>
        </w:rPr>
        <w:t>台積電</w:t>
      </w:r>
      <w:r w:rsidR="006061A1" w:rsidRPr="00075386">
        <w:rPr>
          <w:rFonts w:ascii="Times New Roman" w:eastAsia="標楷體" w:hAnsi="Times New Roman" w:cs="Times New Roman"/>
          <w:noProof/>
          <w:szCs w:val="24"/>
        </w:rPr>
        <w:t>ARMA(2,2)</w:t>
      </w:r>
      <w:r w:rsidR="006061A1" w:rsidRPr="00075386">
        <w:rPr>
          <w:rFonts w:ascii="Times New Roman" w:eastAsia="標楷體" w:hAnsi="標楷體" w:cs="Times New Roman"/>
          <w:noProof/>
          <w:szCs w:val="24"/>
        </w:rPr>
        <w:t>和</w:t>
      </w:r>
      <w:r w:rsidR="0083357A" w:rsidRPr="00075386">
        <w:rPr>
          <w:rFonts w:ascii="Times New Roman" w:eastAsia="標楷體" w:hAnsi="標楷體" w:cs="Times New Roman"/>
          <w:noProof/>
          <w:szCs w:val="24"/>
        </w:rPr>
        <w:t>和進</w:t>
      </w:r>
      <w:r w:rsidR="006061A1" w:rsidRPr="00075386">
        <w:rPr>
          <w:rFonts w:ascii="Times New Roman" w:eastAsia="標楷體" w:hAnsi="Times New Roman" w:cs="Times New Roman"/>
          <w:noProof/>
          <w:szCs w:val="24"/>
        </w:rPr>
        <w:t>ARMA(4,4)</w:t>
      </w:r>
      <w:r w:rsidR="006061A1" w:rsidRPr="00075386">
        <w:rPr>
          <w:rFonts w:ascii="Times New Roman" w:eastAsia="標楷體" w:hAnsi="標楷體" w:cs="Times New Roman"/>
          <w:noProof/>
          <w:szCs w:val="24"/>
        </w:rPr>
        <w:t>的模型，預測結果的折線圖相似</w:t>
      </w:r>
      <w:r w:rsidR="00911D97" w:rsidRPr="00075386">
        <w:rPr>
          <w:rFonts w:ascii="Times New Roman" w:eastAsia="標楷體" w:hAnsi="標楷體" w:cs="Times New Roman"/>
          <w:noProof/>
          <w:szCs w:val="24"/>
        </w:rPr>
        <w:t>，大多數的實際報酬率皆落在預測的上下界中，且預測報酬率的平均值皆落在實際報酬率平均值的上方</w:t>
      </w:r>
      <w:r w:rsidRPr="00075386">
        <w:rPr>
          <w:rFonts w:ascii="Times New Roman" w:eastAsia="標楷體" w:hAnsi="標楷體" w:cs="Times New Roman"/>
          <w:noProof/>
          <w:szCs w:val="24"/>
        </w:rPr>
        <w:t>。</w:t>
      </w:r>
    </w:p>
    <w:p w:rsidR="00495B07" w:rsidRPr="00075386" w:rsidRDefault="00495B07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t>ARMA</w:t>
      </w:r>
      <w:r w:rsidRPr="00075386">
        <w:rPr>
          <w:rFonts w:ascii="Times New Roman" w:eastAsia="標楷體" w:hAnsi="標楷體" w:cs="Times New Roman"/>
          <w:noProof/>
          <w:szCs w:val="24"/>
        </w:rPr>
        <w:t>模型結論</w:t>
      </w:r>
    </w:p>
    <w:p w:rsidR="00495B07" w:rsidRPr="00075386" w:rsidRDefault="00495B07" w:rsidP="00BD3EC1">
      <w:pPr>
        <w:pStyle w:val="2"/>
        <w:keepNext w:val="0"/>
        <w:shd w:val="clear" w:color="auto" w:fill="FFFFFF"/>
        <w:spacing w:line="240" w:lineRule="auto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由上述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模型的預測報酬率結果與實際的報酬率，可以發現兩家企業，雖然企業規模與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CSR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評鑑等級有極大的差異，但實際的報酬率絕大部分都有落在上下界之中。另外，可以發現兩家企業的實際報酬率超過下界，都是在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2020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年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月底以及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2020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年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3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月期間。</w:t>
      </w:r>
      <w:r w:rsidR="006D5D1B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其中，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2020/1/21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台灣出現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首例確診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個案</w:t>
      </w:r>
      <w:r w:rsidR="006D5D1B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；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2020/3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美國因</w:t>
      </w:r>
      <w:proofErr w:type="gramStart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疫情的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間接影響以及沙烏地阿拉伯、俄羅斯石油生產分歧，導致每股三大指數大幅度下跌，也間接影響到台灣股價。</w:t>
      </w:r>
    </w:p>
    <w:p w:rsidR="00495B07" w:rsidRPr="00075386" w:rsidRDefault="00847994" w:rsidP="00BD3EC1">
      <w:pPr>
        <w:pStyle w:val="3"/>
        <w:widowControl w:val="0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參考網址：</w:t>
      </w:r>
      <w:hyperlink r:id="rId36" w:tgtFrame="_blank" w:history="1">
        <w:r w:rsidR="00495B07" w:rsidRPr="00075386">
          <w:rPr>
            <w:rStyle w:val="af"/>
            <w:rFonts w:ascii="Times New Roman" w:eastAsia="標楷體" w:hAnsi="Times New Roman" w:cs="Times New Roman"/>
            <w:b w:val="0"/>
            <w:color w:val="296EAA"/>
            <w:sz w:val="24"/>
            <w:szCs w:val="24"/>
          </w:rPr>
          <w:t>https://zh.wikipedia.org/zh-tw/2020%E5%B9%B4%E9%BB%91%E8%89%B2%E6%98%9F%E6%9C%9F%E5%9B%9B</w:t>
        </w:r>
      </w:hyperlink>
    </w:p>
    <w:p w:rsidR="00495B07" w:rsidRPr="00075386" w:rsidRDefault="00495B07" w:rsidP="00BD3EC1">
      <w:pPr>
        <w:pStyle w:val="2"/>
        <w:keepNext w:val="0"/>
        <w:shd w:val="clear" w:color="auto" w:fill="FFFFFF"/>
        <w:spacing w:line="240" w:lineRule="auto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個人觀察後發現，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ARMA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模型可以預估出報酬率的平均走式，但卻無法預測到它們的波動程度，所以突然發生的事件</w:t>
      </w:r>
      <w:r w:rsidR="00B15561"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有造成股價報酬產生波動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，模型是無法顯示的。</w:t>
      </w:r>
    </w:p>
    <w:p w:rsidR="00495B07" w:rsidRPr="00075386" w:rsidRDefault="00495B07" w:rsidP="00BD3EC1">
      <w:pPr>
        <w:rPr>
          <w:rFonts w:ascii="Times New Roman" w:eastAsia="標楷體" w:hAnsi="Times New Roman" w:cs="Times New Roman"/>
          <w:szCs w:val="24"/>
        </w:rPr>
      </w:pPr>
    </w:p>
    <w:p w:rsidR="00C014EC" w:rsidRPr="00075386" w:rsidRDefault="00C014EC" w:rsidP="00BD3EC1">
      <w:pPr>
        <w:pStyle w:val="a7"/>
        <w:numPr>
          <w:ilvl w:val="0"/>
          <w:numId w:val="2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szCs w:val="24"/>
        </w:rPr>
        <w:t>GARCH</w:t>
      </w:r>
      <w:r w:rsidRPr="00075386">
        <w:rPr>
          <w:rFonts w:ascii="Times New Roman" w:eastAsia="標楷體" w:hAnsi="標楷體" w:cs="Times New Roman"/>
          <w:szCs w:val="24"/>
        </w:rPr>
        <w:t>模型</w:t>
      </w:r>
    </w:p>
    <w:p w:rsidR="002A3514" w:rsidRPr="00075386" w:rsidRDefault="002A3514" w:rsidP="00BD3EC1">
      <w:pPr>
        <w:pStyle w:val="a7"/>
        <w:numPr>
          <w:ilvl w:val="0"/>
          <w:numId w:val="7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台積電</w:t>
      </w:r>
    </w:p>
    <w:p w:rsidR="002A3514" w:rsidRPr="00075386" w:rsidRDefault="002A3514" w:rsidP="00BD3EC1">
      <w:pPr>
        <w:rPr>
          <w:rFonts w:ascii="Times New Roman" w:eastAsia="標楷體" w:hAnsi="Times New Roman" w:cs="Times New Roman"/>
          <w:szCs w:val="24"/>
        </w:rPr>
      </w:pPr>
      <w:proofErr w:type="gramStart"/>
      <w:r w:rsidRPr="00075386">
        <w:rPr>
          <w:rFonts w:ascii="Times New Roman" w:eastAsia="標楷體" w:hAnsi="標楷體" w:cs="Times New Roman"/>
          <w:szCs w:val="24"/>
        </w:rPr>
        <w:t>殘差圖</w:t>
      </w:r>
      <w:proofErr w:type="gramEnd"/>
    </w:p>
    <w:p w:rsidR="002A3514" w:rsidRPr="00075386" w:rsidRDefault="002A3514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659673" cy="1852117"/>
            <wp:effectExtent l="19050" t="0" r="7327" b="0"/>
            <wp:docPr id="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93" cy="185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14" w:rsidRPr="00075386" w:rsidRDefault="002A3514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建立</w:t>
      </w:r>
      <w:r w:rsidRPr="00075386">
        <w:rPr>
          <w:rFonts w:ascii="Times New Roman" w:eastAsia="標楷體" w:hAnsi="Times New Roman" w:cs="Times New Roman"/>
          <w:szCs w:val="24"/>
        </w:rPr>
        <w:t>GARCH</w:t>
      </w:r>
      <w:r w:rsidRPr="00075386">
        <w:rPr>
          <w:rFonts w:ascii="Times New Roman" w:eastAsia="標楷體" w:hAnsi="標楷體" w:cs="Times New Roman"/>
          <w:szCs w:val="24"/>
        </w:rPr>
        <w:t>模型</w:t>
      </w:r>
    </w:p>
    <w:p w:rsidR="002A3514" w:rsidRPr="00075386" w:rsidRDefault="002A3514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284494" cy="2919047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259" cy="291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14" w:rsidRPr="00075386" w:rsidRDefault="002A3514" w:rsidP="00BD3EC1">
      <w:pPr>
        <w:widowControl/>
        <w:shd w:val="clear" w:color="auto" w:fill="FFFFFF"/>
        <w:outlineLvl w:val="2"/>
        <w:rPr>
          <w:rFonts w:ascii="Times New Roman" w:eastAsia="標楷體" w:hAnsi="Times New Roman" w:cs="Times New Roman"/>
          <w:bCs/>
          <w:color w:val="000000"/>
          <w:kern w:val="0"/>
          <w:szCs w:val="24"/>
        </w:rPr>
      </w:pP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得出台積電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GARCH(p=2,q=2)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的模型為：</w:t>
      </w:r>
    </w:p>
    <w:p w:rsidR="002A3514" w:rsidRPr="00075386" w:rsidRDefault="002A3514" w:rsidP="00BD3EC1">
      <w:pPr>
        <w:widowControl/>
        <w:shd w:val="clear" w:color="auto" w:fill="FFFFFF"/>
        <w:outlineLvl w:val="2"/>
        <w:rPr>
          <w:rFonts w:ascii="Times New Roman" w:eastAsia="標楷體" w:hAnsi="Times New Roman" w:cs="Times New Roman"/>
          <w:bCs/>
          <w:color w:val="000000"/>
          <w:kern w:val="0"/>
          <w:szCs w:val="24"/>
        </w:rPr>
      </w:pP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t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=0.0319+0.0602(t-</w:t>
      </w:r>
      <w:proofErr w:type="gramStart"/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1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期殘差</w:t>
      </w:r>
      <w:proofErr w:type="gramEnd"/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)+5.5709e-14(t-</w:t>
      </w:r>
      <w:proofErr w:type="gramStart"/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2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期殘差</w:t>
      </w:r>
      <w:proofErr w:type="gramEnd"/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)+0.5668(t-1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)+0.3401(t-2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)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，其中，只有</w:t>
      </w:r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t-</w:t>
      </w:r>
      <w:proofErr w:type="gramStart"/>
      <w:r w:rsidRPr="00075386">
        <w:rPr>
          <w:rFonts w:ascii="Times New Roman" w:eastAsia="標楷體" w:hAnsi="Times New Roman" w:cs="Times New Roman"/>
          <w:bCs/>
          <w:color w:val="000000"/>
          <w:kern w:val="0"/>
          <w:szCs w:val="24"/>
        </w:rPr>
        <w:t>1</w:t>
      </w:r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期殘差</w:t>
      </w:r>
      <w:proofErr w:type="gramEnd"/>
      <w:r w:rsidRPr="00075386">
        <w:rPr>
          <w:rFonts w:ascii="Times New Roman" w:eastAsia="標楷體" w:hAnsi="標楷體" w:cs="Times New Roman"/>
          <w:bCs/>
          <w:color w:val="000000"/>
          <w:kern w:val="0"/>
          <w:szCs w:val="24"/>
        </w:rPr>
        <w:t>顯著</w:t>
      </w:r>
    </w:p>
    <w:p w:rsidR="002A3514" w:rsidRPr="00075386" w:rsidRDefault="002A3514" w:rsidP="00BD3EC1">
      <w:pPr>
        <w:rPr>
          <w:rFonts w:ascii="Times New Roman" w:eastAsia="標楷體" w:hAnsi="Times New Roman" w:cs="Times New Roman"/>
          <w:szCs w:val="24"/>
        </w:rPr>
      </w:pPr>
    </w:p>
    <w:p w:rsidR="002A3514" w:rsidRPr="00075386" w:rsidRDefault="002A3514" w:rsidP="00BD3EC1">
      <w:pPr>
        <w:pStyle w:val="a7"/>
        <w:numPr>
          <w:ilvl w:val="0"/>
          <w:numId w:val="7"/>
        </w:numPr>
        <w:ind w:leftChars="0" w:left="0" w:firstLine="0"/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和進</w:t>
      </w:r>
    </w:p>
    <w:p w:rsidR="002A3514" w:rsidRPr="00075386" w:rsidRDefault="002A3514" w:rsidP="00BD3EC1">
      <w:pPr>
        <w:pStyle w:val="a7"/>
        <w:ind w:leftChars="0" w:left="0"/>
        <w:rPr>
          <w:rFonts w:ascii="Times New Roman" w:eastAsia="標楷體" w:hAnsi="Times New Roman" w:cs="Times New Roman"/>
          <w:szCs w:val="24"/>
        </w:rPr>
      </w:pPr>
      <w:proofErr w:type="gramStart"/>
      <w:r w:rsidRPr="00075386">
        <w:rPr>
          <w:rFonts w:ascii="Times New Roman" w:eastAsia="標楷體" w:hAnsi="標楷體" w:cs="Times New Roman"/>
          <w:szCs w:val="24"/>
        </w:rPr>
        <w:t>殘差圖</w:t>
      </w:r>
      <w:proofErr w:type="gramEnd"/>
    </w:p>
    <w:p w:rsidR="002A3514" w:rsidRPr="00075386" w:rsidRDefault="00EC2B37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169627" cy="2178833"/>
            <wp:effectExtent l="19050" t="0" r="0" b="0"/>
            <wp:docPr id="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54" cy="218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723" w:rsidRPr="00075386" w:rsidRDefault="004C1723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標楷體" w:cs="Times New Roman"/>
          <w:szCs w:val="24"/>
        </w:rPr>
        <w:t>建立</w:t>
      </w:r>
      <w:r w:rsidRPr="00075386">
        <w:rPr>
          <w:rFonts w:ascii="Times New Roman" w:eastAsia="標楷體" w:hAnsi="Times New Roman" w:cs="Times New Roman"/>
          <w:szCs w:val="24"/>
        </w:rPr>
        <w:t>GARCH</w:t>
      </w:r>
      <w:r w:rsidRPr="00075386">
        <w:rPr>
          <w:rFonts w:ascii="Times New Roman" w:eastAsia="標楷體" w:hAnsi="標楷體" w:cs="Times New Roman"/>
          <w:szCs w:val="24"/>
        </w:rPr>
        <w:t>模型</w:t>
      </w:r>
    </w:p>
    <w:p w:rsidR="004C1723" w:rsidRPr="00075386" w:rsidRDefault="00BD3EC1" w:rsidP="00BD3EC1">
      <w:pPr>
        <w:rPr>
          <w:rFonts w:ascii="Times New Roman" w:eastAsia="標楷體" w:hAnsi="Times New Roman" w:cs="Times New Roman"/>
          <w:szCs w:val="24"/>
        </w:rPr>
      </w:pPr>
      <w:r w:rsidRPr="0007538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3868452" cy="3475892"/>
            <wp:effectExtent l="19050" t="0" r="0" b="0"/>
            <wp:docPr id="1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303" cy="347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C1" w:rsidRPr="00075386" w:rsidRDefault="00BD3EC1" w:rsidP="00BD3EC1">
      <w:pPr>
        <w:pStyle w:val="3"/>
        <w:shd w:val="clear" w:color="auto" w:fill="FFFFFF"/>
        <w:spacing w:before="0" w:beforeAutospacing="0" w:after="0" w:afterAutospacing="0"/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</w:pP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得出和進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GARCH(p=2,q=2)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的模型為：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t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=0.307+0.2052(t-</w:t>
      </w:r>
      <w:proofErr w:type="gramStart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期殘差</w:t>
      </w:r>
      <w:proofErr w:type="gramEnd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)+6.1564e-14(t-</w:t>
      </w:r>
      <w:proofErr w:type="gramStart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2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期殘差</w:t>
      </w:r>
      <w:proofErr w:type="gramEnd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)+ 0.2712(t-1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)+0.2121(t-2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期變異數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)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，其中，只有</w:t>
      </w:r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t-</w:t>
      </w:r>
      <w:proofErr w:type="gramStart"/>
      <w:r w:rsidRPr="00075386">
        <w:rPr>
          <w:rFonts w:ascii="Times New Roman" w:eastAsia="標楷體" w:hAnsi="Times New Roman" w:cs="Times New Roman"/>
          <w:b w:val="0"/>
          <w:color w:val="000000"/>
          <w:sz w:val="24"/>
          <w:szCs w:val="24"/>
        </w:rPr>
        <w:t>1</w:t>
      </w:r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期殘差</w:t>
      </w:r>
      <w:proofErr w:type="gramEnd"/>
      <w:r w:rsidRPr="00075386">
        <w:rPr>
          <w:rFonts w:ascii="Times New Roman" w:eastAsia="標楷體" w:hAnsi="標楷體" w:cs="Times New Roman"/>
          <w:b w:val="0"/>
          <w:color w:val="000000"/>
          <w:sz w:val="24"/>
          <w:szCs w:val="24"/>
        </w:rPr>
        <w:t>顯著</w:t>
      </w:r>
    </w:p>
    <w:p w:rsidR="00BD3EC1" w:rsidRPr="00075386" w:rsidRDefault="00BD3EC1" w:rsidP="00BD3EC1">
      <w:pPr>
        <w:rPr>
          <w:rFonts w:ascii="Times New Roman" w:eastAsia="標楷體" w:hAnsi="Times New Roman" w:cs="Times New Roman"/>
          <w:szCs w:val="24"/>
        </w:rPr>
      </w:pPr>
    </w:p>
    <w:sectPr w:rsidR="00BD3EC1" w:rsidRPr="00075386" w:rsidSect="00ED59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7C42" w:rsidRDefault="005F7C42" w:rsidP="00D016CD">
      <w:r>
        <w:separator/>
      </w:r>
    </w:p>
  </w:endnote>
  <w:endnote w:type="continuationSeparator" w:id="0">
    <w:p w:rsidR="005F7C42" w:rsidRDefault="005F7C42" w:rsidP="00D016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7C42" w:rsidRDefault="005F7C42" w:rsidP="00D016CD">
      <w:r>
        <w:separator/>
      </w:r>
    </w:p>
  </w:footnote>
  <w:footnote w:type="continuationSeparator" w:id="0">
    <w:p w:rsidR="005F7C42" w:rsidRDefault="005F7C42" w:rsidP="00D016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A35DB"/>
    <w:multiLevelType w:val="hybridMultilevel"/>
    <w:tmpl w:val="C0C28134"/>
    <w:lvl w:ilvl="0" w:tplc="86585F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E7F4DC3"/>
    <w:multiLevelType w:val="hybridMultilevel"/>
    <w:tmpl w:val="CB68EC3C"/>
    <w:lvl w:ilvl="0" w:tplc="94DAD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51C7677"/>
    <w:multiLevelType w:val="hybridMultilevel"/>
    <w:tmpl w:val="16C036DA"/>
    <w:lvl w:ilvl="0" w:tplc="B9126A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8130D50"/>
    <w:multiLevelType w:val="hybridMultilevel"/>
    <w:tmpl w:val="9360409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1E4852"/>
    <w:multiLevelType w:val="hybridMultilevel"/>
    <w:tmpl w:val="CCDE0188"/>
    <w:lvl w:ilvl="0" w:tplc="8AD817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79D410D2"/>
    <w:multiLevelType w:val="hybridMultilevel"/>
    <w:tmpl w:val="FF2CC6E0"/>
    <w:lvl w:ilvl="0" w:tplc="A2B47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EFF4B60"/>
    <w:multiLevelType w:val="hybridMultilevel"/>
    <w:tmpl w:val="F22E5C6C"/>
    <w:lvl w:ilvl="0" w:tplc="2520B54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16CD"/>
    <w:rsid w:val="000042B7"/>
    <w:rsid w:val="00031C63"/>
    <w:rsid w:val="00074569"/>
    <w:rsid w:val="00075386"/>
    <w:rsid w:val="000956FA"/>
    <w:rsid w:val="000B1E51"/>
    <w:rsid w:val="000D23F9"/>
    <w:rsid w:val="000F51D9"/>
    <w:rsid w:val="00112B35"/>
    <w:rsid w:val="001130E5"/>
    <w:rsid w:val="00157171"/>
    <w:rsid w:val="00157FBB"/>
    <w:rsid w:val="00173EC0"/>
    <w:rsid w:val="0019761E"/>
    <w:rsid w:val="001D2585"/>
    <w:rsid w:val="001D6755"/>
    <w:rsid w:val="001F35F5"/>
    <w:rsid w:val="00202A7D"/>
    <w:rsid w:val="00215B34"/>
    <w:rsid w:val="0022331B"/>
    <w:rsid w:val="00231BAE"/>
    <w:rsid w:val="00253EDA"/>
    <w:rsid w:val="002A3514"/>
    <w:rsid w:val="002A7150"/>
    <w:rsid w:val="002C571F"/>
    <w:rsid w:val="002C586A"/>
    <w:rsid w:val="002E1499"/>
    <w:rsid w:val="002F2C88"/>
    <w:rsid w:val="00302003"/>
    <w:rsid w:val="0032051D"/>
    <w:rsid w:val="003217D7"/>
    <w:rsid w:val="00331171"/>
    <w:rsid w:val="00331FE0"/>
    <w:rsid w:val="003577BD"/>
    <w:rsid w:val="003B49EF"/>
    <w:rsid w:val="00402C44"/>
    <w:rsid w:val="0043403B"/>
    <w:rsid w:val="00451D3C"/>
    <w:rsid w:val="004655F9"/>
    <w:rsid w:val="0046704D"/>
    <w:rsid w:val="00495B07"/>
    <w:rsid w:val="004C0AC1"/>
    <w:rsid w:val="004C1339"/>
    <w:rsid w:val="004C1723"/>
    <w:rsid w:val="004F2330"/>
    <w:rsid w:val="00506399"/>
    <w:rsid w:val="00507EB5"/>
    <w:rsid w:val="00513522"/>
    <w:rsid w:val="00514CD3"/>
    <w:rsid w:val="00524CAA"/>
    <w:rsid w:val="0052521B"/>
    <w:rsid w:val="00552490"/>
    <w:rsid w:val="005535E3"/>
    <w:rsid w:val="005541C4"/>
    <w:rsid w:val="00575F92"/>
    <w:rsid w:val="00582467"/>
    <w:rsid w:val="00586CA6"/>
    <w:rsid w:val="0059392C"/>
    <w:rsid w:val="005F7C42"/>
    <w:rsid w:val="006061A1"/>
    <w:rsid w:val="006459AD"/>
    <w:rsid w:val="00656206"/>
    <w:rsid w:val="006870B9"/>
    <w:rsid w:val="006D2C6D"/>
    <w:rsid w:val="006D4DE9"/>
    <w:rsid w:val="006D5D1B"/>
    <w:rsid w:val="006F3139"/>
    <w:rsid w:val="00737E49"/>
    <w:rsid w:val="0074591B"/>
    <w:rsid w:val="00750D0F"/>
    <w:rsid w:val="007856D0"/>
    <w:rsid w:val="007A3067"/>
    <w:rsid w:val="00801BAB"/>
    <w:rsid w:val="008304CC"/>
    <w:rsid w:val="0083357A"/>
    <w:rsid w:val="008460DF"/>
    <w:rsid w:val="00847994"/>
    <w:rsid w:val="00863C02"/>
    <w:rsid w:val="00877889"/>
    <w:rsid w:val="00884794"/>
    <w:rsid w:val="008930CE"/>
    <w:rsid w:val="008C7E5A"/>
    <w:rsid w:val="008E5FFA"/>
    <w:rsid w:val="009023CB"/>
    <w:rsid w:val="00911B83"/>
    <w:rsid w:val="00911D97"/>
    <w:rsid w:val="00924F66"/>
    <w:rsid w:val="00933058"/>
    <w:rsid w:val="009656F1"/>
    <w:rsid w:val="00976EEB"/>
    <w:rsid w:val="009841A9"/>
    <w:rsid w:val="00991DA7"/>
    <w:rsid w:val="00992630"/>
    <w:rsid w:val="00996C1C"/>
    <w:rsid w:val="009C1772"/>
    <w:rsid w:val="009D3737"/>
    <w:rsid w:val="00A279AB"/>
    <w:rsid w:val="00A32A24"/>
    <w:rsid w:val="00A54F14"/>
    <w:rsid w:val="00A65B06"/>
    <w:rsid w:val="00A715BB"/>
    <w:rsid w:val="00A76730"/>
    <w:rsid w:val="00A85F13"/>
    <w:rsid w:val="00AA103E"/>
    <w:rsid w:val="00AB01EA"/>
    <w:rsid w:val="00AE78BA"/>
    <w:rsid w:val="00AF46FA"/>
    <w:rsid w:val="00B00EA8"/>
    <w:rsid w:val="00B15561"/>
    <w:rsid w:val="00B21AA8"/>
    <w:rsid w:val="00B46E6F"/>
    <w:rsid w:val="00B94EC6"/>
    <w:rsid w:val="00BB1010"/>
    <w:rsid w:val="00BB1FCA"/>
    <w:rsid w:val="00BD3EC1"/>
    <w:rsid w:val="00BD512B"/>
    <w:rsid w:val="00BE1175"/>
    <w:rsid w:val="00C00506"/>
    <w:rsid w:val="00C014EC"/>
    <w:rsid w:val="00C108C6"/>
    <w:rsid w:val="00C326DF"/>
    <w:rsid w:val="00C52B56"/>
    <w:rsid w:val="00CC2D5D"/>
    <w:rsid w:val="00CF3C0F"/>
    <w:rsid w:val="00D016CD"/>
    <w:rsid w:val="00D674CE"/>
    <w:rsid w:val="00DE455E"/>
    <w:rsid w:val="00DE5C8C"/>
    <w:rsid w:val="00E02D1D"/>
    <w:rsid w:val="00E30245"/>
    <w:rsid w:val="00E30F6D"/>
    <w:rsid w:val="00E468A4"/>
    <w:rsid w:val="00E636FB"/>
    <w:rsid w:val="00EA3F2F"/>
    <w:rsid w:val="00EC2B37"/>
    <w:rsid w:val="00ED59DB"/>
    <w:rsid w:val="00EE0136"/>
    <w:rsid w:val="00EE7B46"/>
    <w:rsid w:val="00F11DED"/>
    <w:rsid w:val="00F26B2A"/>
    <w:rsid w:val="00F27A89"/>
    <w:rsid w:val="00F475E6"/>
    <w:rsid w:val="00F85F40"/>
    <w:rsid w:val="00FF145A"/>
    <w:rsid w:val="00FF4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9DB"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5B0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26B2A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01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D016CD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D016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D016CD"/>
    <w:rPr>
      <w:sz w:val="20"/>
      <w:szCs w:val="20"/>
    </w:rPr>
  </w:style>
  <w:style w:type="paragraph" w:styleId="a7">
    <w:name w:val="List Paragraph"/>
    <w:basedOn w:val="a"/>
    <w:uiPriority w:val="34"/>
    <w:qFormat/>
    <w:rsid w:val="00A715BB"/>
    <w:pPr>
      <w:ind w:leftChars="200" w:left="480"/>
    </w:pPr>
  </w:style>
  <w:style w:type="character" w:styleId="a8">
    <w:name w:val="annotation reference"/>
    <w:basedOn w:val="a0"/>
    <w:uiPriority w:val="99"/>
    <w:semiHidden/>
    <w:unhideWhenUsed/>
    <w:rsid w:val="00BB1010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BB1010"/>
  </w:style>
  <w:style w:type="character" w:customStyle="1" w:styleId="aa">
    <w:name w:val="註解文字 字元"/>
    <w:basedOn w:val="a0"/>
    <w:link w:val="a9"/>
    <w:uiPriority w:val="99"/>
    <w:semiHidden/>
    <w:rsid w:val="00BB1010"/>
  </w:style>
  <w:style w:type="paragraph" w:styleId="ab">
    <w:name w:val="annotation subject"/>
    <w:basedOn w:val="a9"/>
    <w:next w:val="a9"/>
    <w:link w:val="ac"/>
    <w:uiPriority w:val="99"/>
    <w:semiHidden/>
    <w:unhideWhenUsed/>
    <w:rsid w:val="00BB1010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BB1010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BB10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BB1010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D2C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D2C6D"/>
    <w:rPr>
      <w:rFonts w:ascii="細明體" w:eastAsia="細明體" w:hAnsi="細明體" w:cs="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F26B2A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20">
    <w:name w:val="標題 2 字元"/>
    <w:basedOn w:val="a0"/>
    <w:link w:val="2"/>
    <w:uiPriority w:val="9"/>
    <w:semiHidden/>
    <w:rsid w:val="00495B07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">
    <w:name w:val="Hyperlink"/>
    <w:basedOn w:val="a0"/>
    <w:uiPriority w:val="99"/>
    <w:semiHidden/>
    <w:unhideWhenUsed/>
    <w:rsid w:val="00495B0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zh.wikipedia.org/zh-tw/2020%E5%B9%B4%E9%BB%91%E8%89%B2%E6%98%9F%E6%9C%9F%E5%9B%9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4188</TotalTime>
  <Pages>11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114</cp:revision>
  <dcterms:created xsi:type="dcterms:W3CDTF">2022-11-10T09:28:00Z</dcterms:created>
  <dcterms:modified xsi:type="dcterms:W3CDTF">2023-05-10T08:45:00Z</dcterms:modified>
</cp:coreProperties>
</file>