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docx" ContentType="application/vnd.openxmlformats-officedocument.wordprocessingml.document.main+xml"/>
  <Override PartName="/word/reconstruction.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January 1, 2021</w:t>
      </w:r>
    </w:p>
    <w:p>
      <w:pPr>
        <w:pStyle w:val="BodyText2"/>
      </w:pPr>
    </w:p>
    <w:p>
      <w:pPr>
        <w:pStyle w:val="BodyText2"/>
      </w:pPr>
      <w:r>
        <w:t xml:space="preserve">LawyerFirst LawyerLast Esquire</w:t>
      </w:r>
    </w:p>
    <w:p>
      <w:pPr>
        <w:pStyle w:val="BodyText2"/>
      </w:pPr>
      <w:r>
        <w:t xml:space="preserve">SampleFirmName</w:t>
      </w:r>
    </w:p>
    <w:p>
      <w:pPr>
        <w:pStyle w:val="BodyText2"/>
      </w:pPr>
      <w:r>
        <w:t xml:space="preserve">123 Address St.</w:t>
      </w:r>
    </w:p>
    <w:p>
      <w:pPr>
        <w:pStyle w:val="BodyText2"/>
      </w:pPr>
      <w:r>
        <w:t xml:space="preserve">CityVille, StateLand 12345</w:t>
      </w:r>
    </w:p>
    <w:p>
      <w:pPr>
        <w:pStyle w:val="BodyText2"/>
      </w:pPr>
    </w:p>
    <w:p>
      <w:pPr>
        <w:pStyle w:val="BodyText2"/>
      </w:pPr>
      <w:r>
        <w:t xml:space="preserve">Tel: (012) 345-6789</w:t>
      </w:r>
    </w:p>
    <w:p>
      <w:pPr>
        <w:pStyle w:val="BodyText2"/>
      </w:pPr>
    </w:p>
    <w:p>
      <w:pPr>
        <w:pStyle w:val="BodyText2"/>
      </w:pPr>
    </w:p>
    <w:p>
      <w:pPr>
        <w:pStyle w:val="BodyText2"/>
      </w:pPr>
      <w:r>
        <w:t xml:space="preserve">RE:	</w:t>
      </w:r>
      <w:r>
        <w:rPr>
          <w:rFonts/>
          <w:i w:val="true"/>
        </w:rPr>
        <w:t xml:space="preserve">Pl1FirstName Pl1LastName; Pl2FirstName Pl1LastName; Third One Third Name et al. v SampleCaseDefendantName et al., Case No: CaseNoSample, SampleCourtName</w:t>
      </w:r>
    </w:p>
    <w:p>
      <w:pPr>
        <w:pStyle w:val="BodyText2"/>
      </w:pPr>
    </w:p>
    <w:p>
      <w:pPr>
        <w:pStyle w:val="BodyText2"/>
      </w:pPr>
    </w:p>
    <w:p>
      <w:pPr>
        <w:pStyle w:val="BodyText2"/>
      </w:pPr>
      <w:r>
        <w:t xml:space="preserve">Date of Crash:	January 1, 2020</w:t>
      </w:r>
    </w:p>
    <w:p>
      <w:pPr>
        <w:pStyle w:val="BodyText2"/>
      </w:pPr>
      <w:r>
        <w:t xml:space="preserve">Date of Birth:	</w:t>
      </w:r>
      <w:r>
        <w:rPr>
          <w:rFonts/>
          <w:i w:val="true"/>
        </w:rPr>
        <w:t xml:space="preserve">Pl1FirstName Pl1LastName: </w:t>
      </w:r>
      <w:r>
        <w:t xml:space="preserve">January 1, 1999</w:t>
      </w:r>
      <w:r>
        <w:t xml:space="preserve"> [</w:t>
      </w:r>
      <w:r>
        <w:t xml:space="preserve">20</w:t>
      </w:r>
      <w:r>
        <w:t xml:space="preserve"> years old at time of crash]</w:t>
      </w:r>
    </w:p>
    <w:p>
      <w:pPr>
        <w:pStyle w:val="BodyText2"/>
      </w:pPr>
      <w:r>
        <w:t xml:space="preserve">	</w:t>
      </w:r>
      <w:r>
        <w:rPr>
          <w:rFonts/>
          <w:i w:val="true"/>
        </w:rPr>
        <w:t xml:space="preserve">Pl2FirstName Pl1LastName: </w:t>
      </w:r>
      <w:r>
        <w:t xml:space="preserve">January 2, 1990</w:t>
      </w:r>
      <w:r>
        <w:t xml:space="preserve"> [</w:t>
      </w:r>
      <w:r>
        <w:t xml:space="preserve">29</w:t>
      </w:r>
      <w:r>
        <w:t xml:space="preserve"> years old at time of crash]</w:t>
      </w:r>
    </w:p>
    <w:p>
      <w:pPr>
        <w:pStyle w:val="BodyText2"/>
      </w:pPr>
      <w:r>
        <w:t xml:space="preserve">	</w:t>
      </w:r>
      <w:r>
        <w:rPr>
          <w:rFonts/>
          <w:i w:val="true"/>
        </w:rPr>
        <w:t xml:space="preserve">Third One Third Name: </w:t>
      </w:r>
      <w:r>
        <w:t xml:space="preserve">January 4, 1994</w:t>
      </w:r>
      <w:r>
        <w:t xml:space="preserve"> [</w:t>
      </w:r>
      <w:r>
        <w:t xml:space="preserve">25</w:t>
      </w:r>
      <w:r>
        <w:t xml:space="preserve"> years old at time of crash]</w:t>
      </w:r>
    </w:p>
    <w:p>
      <w:pPr>
        <w:pStyle w:val="BodyText2"/>
      </w:pPr>
    </w:p>
    <w:p>
      <w:pPr>
        <w:pStyle w:val="BodyText2"/>
      </w:pPr>
    </w:p>
    <w:p>
      <w:pPr>
        <w:pStyle w:val="Normal"/>
      </w:pPr>
      <w:r>
        <w:t xml:space="preserve">Dear Mr. LawyerLast</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rear impact collision and Ms. and Mr. Pl1LastName and Mx. Third Name’s subsequently diagnosed shoulder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4,700 times.</w:t>
      </w:r>
    </w:p>
    <w:p>
      <w:pPr>
        <w:pStyle w:val="Normal"/>
      </w:pPr>
    </w:p>
    <w:p>
      <w:pPr>
        <w:pStyle w:val="Normal"/>
      </w:pPr>
      <w:r>
        <w:t xml:space="preserve">I have provided testimony in more than 400 civil and criminal trials in state and Federal courts throughout the United States, Canada, and Australia. Please see my CV for further details.</w:t>
      </w:r>
      <w:r>
        <w:br w:type="page"/>
      </w:r>
    </w:p>
    <w:altChunk r:id="rId14"/>
    <w:p>
      <w:pPr>
        <w:pStyle w:val="Normal"/>
      </w:pPr>
    </w:p>
    <w:p>
      <w:pPr>
        <w:pStyle w:val="Normal"/>
      </w:pPr>
      <w:r>
        <w:t xml:space="preserve">At the time of the crash, </w:t>
      </w:r>
    </w:p>
    <w:altChunk r:id="rId15"/>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Whether the injury mechanism had the potential to cause the injury in question (aka general causation);</w:t>
      </w:r>
    </w:p>
    <w:p>
      <w:pPr>
        <w:pStyle w:val="BodyText3"/>
      </w:pPr>
      <w:r>
        <w:t xml:space="preserve">The degree of temporal proximity between the injury mechanism and the onset of the symptoms reasonably indicating the presence of the injury; and</w:t>
      </w:r>
    </w:p>
    <w:p>
      <w:pPr>
        <w:pStyle w:val="BodyText3"/>
      </w:pPr>
      <w:r>
        <w:t xml:space="preserve">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Reconstruction of the crash</w:t>
      </w:r>
    </w:p>
    <w:altChunk r:id="rId16"/>
    <w:p>
      <w:pPr>
        <w:pStyle w:val="Normal"/>
      </w:pPr>
    </w:p>
    <w:p>
      <w:pPr>
        <w:pStyle w:val="Normal"/>
      </w:pPr>
      <w:r>
        <w:rPr>
          <w:rFonts/>
          <w:i w:val="true"/>
        </w:rPr>
        <w:t xml:space="preserve">Injury biomechanics</w:t>
      </w:r>
    </w:p>
    <w:p>
      <w:pPr>
        <w:pStyle w:val="Normal"/>
      </w:pPr>
      <w:r>
        <w:t xml:space="preserve">The rear impact would have resulted in Ms. and Mr. Pl1LastName and Mx. Third Name’s torsos and heads initially being thrown rearwards into the seatback at around 5-6 mph, and then rebounding forward into the restraining seat belt and toward the steering wheel. Ms. and Mr. Pl1LastName and Mx. Third Name would have sustained substantial complex loads on their spines in the collision, loads that include compression, rotation, and shear all occurring at the same time and to varying degrees in less time than it takes to blink an eye (around 250 msecs). The load on their left shoulders, when they were restrained by the shoulder belt, would have likely exceeded several hundred lbs. The peak cervical, thoracic, and lumbar spinal disk loads could have ranged from 150 to 400 or more lbs., respectively, more than sufficient to cause a wide range of musculoligamentous and skeletal injuries.</w:t>
      </w:r>
    </w:p>
    <w:p>
      <w:pPr>
        <w:pStyle w:val="Normal"/>
      </w:pPr>
    </w:p>
    <w:p>
      <w:pPr>
        <w:pStyle w:val="Normal"/>
      </w:pPr>
      <w:r>
        <w:t xml:space="preserve">While a 5-6 mph rear impact collision may not sound like a very significant event, such collisions can result in surprisingly violent occupant movement. This concept is more easily understood from a series of video still shots, reproduced below, from a rear impact collision crash test conducted at 5.2 mph delta V (the same as estimated for the subject crash), and resulting in no vehicle damage. The occupant depicted in the test sustained a measured 12.5 g of peak head acceleration:</w:t>
      </w:r>
    </w:p>
    <w:p>
      <w:pPr>
        <w:pStyle w:val="Normal"/>
      </w:pPr>
    </w:p>
    <w:p>
      <w:pPr>
        <w:pStyle w:val="Subtitle"/>
      </w:pPr>
      <w:r>
        <w:rPr/>
        <w:drawing>
          <wp:inline distT="0" distB="0" distL="0" distR="0">
            <wp:extent cx="3840480" cy="2616107"/>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7"/>
                    <a:stretch>
                      <a:fillRect/>
                    </a:stretch>
                  </pic:blipFill>
                  <pic:spPr bwMode="auto">
                    <a:xfrm>
                      <a:off x="0" y="0"/>
                      <a:ext cx="53340" cy="36335"/>
                    </a:xfrm>
                    <a:prstGeom prst="rect">
                      <a:avLst/>
                    </a:prstGeom>
                    <a:noFill/>
                  </pic:spPr>
                </pic:pic>
              </a:graphicData>
            </a:graphic>
          </wp:inline>
        </w:drawing>
      </w:r>
    </w:p>
    <w:p>
      <w:pPr>
        <w:pStyle w:val="Caption"/>
      </w:pPr>
      <w:r>
        <w:t xml:space="preserve">Time = 0 msec: Occupant in neutral position at time of impact. Note the distance between the knee and the front of the seat.</w:t>
      </w:r>
    </w:p>
    <w:p>
      <w:pPr>
        <w:pStyle w:val="Normal"/>
      </w:pPr>
    </w:p>
    <w:p>
      <w:pPr>
        <w:pStyle w:val="Subtitle"/>
      </w:pPr>
      <w:r>
        <w:rPr/>
        <w:drawing>
          <wp:inline distT="0" distB="0" distL="0" distR="0">
            <wp:extent cx="3840480" cy="2642532"/>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8"/>
                    <a:stretch>
                      <a:fillRect/>
                    </a:stretch>
                  </pic:blipFill>
                  <pic:spPr bwMode="auto">
                    <a:xfrm>
                      <a:off x="0" y="0"/>
                      <a:ext cx="53340" cy="36702"/>
                    </a:xfrm>
                    <a:prstGeom prst="rect">
                      <a:avLst/>
                    </a:prstGeom>
                    <a:noFill/>
                  </pic:spPr>
                </pic:pic>
              </a:graphicData>
            </a:graphic>
          </wp:inline>
        </w:drawing>
      </w:r>
    </w:p>
    <w:p>
      <w:pPr>
        <w:pStyle w:val="Caption"/>
      </w:pPr>
      <w:r>
        <w:t xml:space="preserve">Time = 175 msec: The occupant’s torso completely compresses the seatback and the head and neck are at maximum extension. The hand comes off the steering wheel and the distance between the knee and the front of the seat now increases, as the hips begin to rebound forward ahead of the torso and head, indicating shear forces in the low back.</w:t>
      </w:r>
    </w:p>
    <w:p>
      <w:pPr>
        <w:pStyle w:val="Normal"/>
      </w:pPr>
    </w:p>
    <w:p>
      <w:pPr>
        <w:pStyle w:val="Subtitle"/>
      </w:pPr>
      <w:r>
        <w:rPr/>
        <w:drawing>
          <wp:inline distT="0" distB="0" distL="0" distR="0">
            <wp:extent cx="3840480" cy="2625363"/>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9"/>
                    <a:stretch>
                      <a:fillRect/>
                    </a:stretch>
                  </pic:blipFill>
                  <pic:spPr bwMode="auto">
                    <a:xfrm>
                      <a:off x="0" y="0"/>
                      <a:ext cx="53340" cy="36463"/>
                    </a:xfrm>
                    <a:prstGeom prst="rect">
                      <a:avLst/>
                    </a:prstGeom>
                    <a:noFill/>
                  </pic:spPr>
                </pic:pic>
              </a:graphicData>
            </a:graphic>
          </wp:inline>
        </w:drawing>
      </w:r>
    </w:p>
    <w:p>
      <w:pPr>
        <w:pStyle w:val="Caption"/>
      </w:pPr>
      <w:r>
        <w:t xml:space="preserve">Time = 200 msec: The occupant’s torso and head begin to rebound off of the compressed seatback. His right hand strikes the steering wheel and his knees move toward the dashboard.</w:t>
      </w:r>
    </w:p>
    <w:p>
      <w:pPr>
        <w:pStyle w:val="Normal"/>
      </w:pPr>
    </w:p>
    <w:p>
      <w:pPr>
        <w:pStyle w:val="Subtitle"/>
      </w:pPr>
      <w:r>
        <w:rPr/>
        <w:drawing>
          <wp:inline distT="0" distB="0" distL="0" distR="0">
            <wp:extent cx="3840480" cy="2616107"/>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0"/>
                    <a:stretch>
                      <a:fillRect/>
                    </a:stretch>
                  </pic:blipFill>
                  <pic:spPr bwMode="auto">
                    <a:xfrm>
                      <a:off x="0" y="0"/>
                      <a:ext cx="53340" cy="36335"/>
                    </a:xfrm>
                    <a:prstGeom prst="rect">
                      <a:avLst/>
                    </a:prstGeom>
                    <a:noFill/>
                  </pic:spPr>
                </pic:pic>
              </a:graphicData>
            </a:graphic>
          </wp:inline>
        </w:drawing>
      </w:r>
    </w:p>
    <w:p>
      <w:pPr>
        <w:pStyle w:val="Caption"/>
      </w:pPr>
      <w:r>
        <w:t xml:space="preserve">Time = 250 msec: The occupant is projected forward past his pre-crash position in the vehicle and loads the now locked shoulder belt with his left shoulder.</w:t>
      </w:r>
    </w:p>
    <w:p>
      <w:pPr>
        <w:pStyle w:val="Normal"/>
      </w:pPr>
    </w:p>
    <w:p>
      <w:pPr>
        <w:pStyle w:val="Normal"/>
      </w:pPr>
      <w:r>
        <w:t xml:space="preserve">The stills were part of a peer-reviewed research publication that I co-authored, which I will make available for demonstrative purposes upon request.</w:t>
      </w:r>
      <w:r>
        <w:rPr>
          <w:rFonts/>
          <w:vertAlign w:val="superscript"/>
        </w:rPr>
        <w:footnoteReference w:id="5"/>
      </w:r>
      <w:r>
        <w:rPr>
          <w:rFonts/>
          <w:vertAlign w:val="superscript"/>
        </w:rPr>
        <w:t xml:space="preserve">,</w:t>
      </w:r>
      <w:r>
        <w:rPr>
          <w:rFonts/>
          <w:vertAlign w:val="superscript"/>
        </w:rPr>
        <w:footnoteReference w:id="6"/>
      </w:r>
    </w:p>
    <w:p>
      <w:pPr>
        <w:pStyle w:val="Normal"/>
      </w:pPr>
    </w:p>
    <w:p>
      <w:pPr>
        <w:pStyle w:val="Normal"/>
      </w:pPr>
      <w:r>
        <w:t xml:space="preserve">The crash testing and epidemiologic literature provides good information regarding the forces associated with a 5-6 mph rear impact delta V crash, which can be quite substantial. A recently published analysis of the world literature on the topic demonstrated the distribution of body accelerations and injury risks illustrated in the charts below:</w:t>
      </w:r>
    </w:p>
    <w:p>
      <w:pPr>
        <w:pStyle w:val="Normal"/>
      </w:pPr>
    </w:p>
    <w:p>
      <w:pPr>
        <w:pStyle w:val="Subtitle"/>
      </w:pPr>
      <w:r>
        <w:rPr/>
        <w:drawing>
          <wp:inline distT="0" distB="0" distL="0" distR="0">
            <wp:extent cx="3840480" cy="300394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1"/>
                    <a:stretch>
                      <a:fillRect/>
                    </a:stretch>
                  </pic:blipFill>
                  <pic:spPr bwMode="auto">
                    <a:xfrm>
                      <a:off x="0" y="0"/>
                      <a:ext cx="53340" cy="41721"/>
                    </a:xfrm>
                    <a:prstGeom prst="rect">
                      <a:avLst/>
                    </a:prstGeom>
                    <a:noFill/>
                  </pic:spPr>
                </pic:pic>
              </a:graphicData>
            </a:graphic>
          </wp:inline>
        </w:drawing>
      </w:r>
    </w:p>
    <w:p>
      <w:pPr>
        <w:pStyle w:val="Caption"/>
      </w:pPr>
      <w:r>
        <w:t xml:space="preserve">Chart showing the relationship between a 5-6 mph delta V rear impact and peak head acceleration measured in 126 volunteers. The red band shows the magnitude of the crash Ms. and Mr. Pl1LastName and Mx. Third Name were exposed to. As demonstrated in the chart, peak head accelerations can exceed 17g (17 times the forces of gravity). Note: 5-6 mph is approximately equal to 8 to 10 km/h on the chart.</w:t>
      </w:r>
    </w:p>
    <w:p>
      <w:pPr>
        <w:pStyle w:val="Normal"/>
      </w:pPr>
    </w:p>
    <w:p>
      <w:pPr>
        <w:pStyle w:val="Subtitle"/>
      </w:pPr>
      <w:r>
        <w:rPr/>
        <w:drawing>
          <wp:inline distT="0" distB="0" distL="0" distR="0">
            <wp:extent cx="3840480" cy="3016615"/>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2"/>
                    <a:stretch>
                      <a:fillRect/>
                    </a:stretch>
                  </pic:blipFill>
                  <pic:spPr bwMode="auto">
                    <a:xfrm>
                      <a:off x="0" y="0"/>
                      <a:ext cx="53340" cy="41897"/>
                    </a:xfrm>
                    <a:prstGeom prst="rect">
                      <a:avLst/>
                    </a:prstGeom>
                    <a:noFill/>
                  </pic:spPr>
                </pic:pic>
              </a:graphicData>
            </a:graphic>
          </wp:inline>
        </w:drawing>
      </w:r>
    </w:p>
    <w:p>
      <w:pPr>
        <w:pStyle w:val="Caption"/>
      </w:pPr>
      <w:r>
        <w:t xml:space="preserve">Chart showing the relationship between a 5-6 mph delta V rear impact and peak low back acceleration measured in 39 volunteers. The red band shows the magnitude of the crash Ms. and Mr. Pl1LastName and Mx. Third Name were exposed to. As demonstrated in the chart, peak low back accelerations can exceed 7g (7 times the forces of gravity). Note: 5-6 mph is approximately equal to 8 to 10 km/h on the chart.</w:t>
      </w:r>
    </w:p>
    <w:p>
      <w:pPr>
        <w:pStyle w:val="Normal"/>
      </w:pPr>
    </w:p>
    <w:p>
      <w:pPr>
        <w:pStyle w:val="Subtitle"/>
      </w:pPr>
      <w:r>
        <w:rPr/>
        <w:drawing>
          <wp:inline distT="0" distB="0" distL="0" distR="0">
            <wp:extent cx="3840480" cy="3033979"/>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23"/>
                    <a:stretch>
                      <a:fillRect/>
                    </a:stretch>
                  </pic:blipFill>
                  <pic:spPr bwMode="auto">
                    <a:xfrm>
                      <a:off x="0" y="0"/>
                      <a:ext cx="53340" cy="42139"/>
                    </a:xfrm>
                    <a:prstGeom prst="rect">
                      <a:avLst/>
                    </a:prstGeom>
                    <a:noFill/>
                  </pic:spPr>
                </pic:pic>
              </a:graphicData>
            </a:graphic>
          </wp:inline>
        </w:drawing>
      </w:r>
    </w:p>
    <w:p>
      <w:pPr>
        <w:pStyle w:val="Caption"/>
      </w:pPr>
      <w:r>
        <w:t xml:space="preserve">Chart showing the relationship between a 5-6 mph delta V rear impact and cervical disk injury risk observed in 113 people exposed to real-world crashes. The red band shows the magnitude of the crash Ms. and Mr. Pl1LastName and Mx. Third Name were exposed to. As demonstrated in the chart, the risk of a cervical disk injury ranges from 2.5 to 3.2% or around 1 in 31 to 1 in 40. Note: 5-6 mph is approximately equal to 8 to 10 km/h on the chart.</w:t>
      </w:r>
    </w:p>
    <w:p>
      <w:pPr>
        <w:pStyle w:val="Normal"/>
      </w:pPr>
    </w:p>
    <w:p>
      <w:pPr>
        <w:pStyle w:val="Normal"/>
      </w:pPr>
      <w:r>
        <w:t xml:space="preserve">The types of shoulder and spinal injuries that Ms. and Mr. Pl1LastName and Mx. Third Name was diagnosed with (a SLAP lesion and cervical and thoracic disk derangements) are consistent with the injury mechanism of the crash. The sheer forces exerted on Ms. and Mr. Pl1LastName and Mx. Third Name’s left shoulder by the shoulder belt (or possibly transmitted by transferred forces through Ms. and Mr. Pl1LastName and Mx. Third Name’s grip on the steering wheel), would have had the potential to cause the SLAP lesion diagnosed by Dr. Doctor. This is one of the reasons that the American Academy of Orthopedic Surgeons lists traffic crashes prominently as one of the causes of SLAP lesions, along with falls, sports involving overhead movement, and dislocations.  The risk of SLAP lesions is closely associated with age, and women in Ms. and Mr. Pl1LastName and Mx. Third Name’s age group are at nearly </w:t>
      </w:r>
      <w:r>
        <w:rPr>
          <w:rFonts/>
          <w:b w:val="true"/>
        </w:rPr>
        <w:t xml:space="preserve">3</w:t>
      </w:r>
      <w:r>
        <w:t xml:space="preserve"> times the risk of the injury as women in their 20s, regardless of activity.  This is due to the normal wear and tear-related degenerative changes that occur in the shoulder over time, which has the tendency to make the shoulder more susceptible to injury in the event of a sudden traumatic load. There is no lower threshold of crash force for causing a SLAP lesion; any force that could cause a strain could also potentially cause a SLAP lesion, as the same structures are loaded regardless of the diagnosis. A study of rear impact crashes with an average delta V of 4 mph reported that around 1 in 10 subjects had persisting symptoms and diagnosis of shoulder injury at 5 or more weeks post-crash.</w:t>
      </w:r>
    </w:p>
    <w:p>
      <w:pPr>
        <w:pStyle w:val="Normal"/>
      </w:pPr>
    </w:p>
    <w:p>
      <w:pPr>
        <w:pStyle w:val="Normal"/>
      </w:pPr>
      <w:r>
        <w:t xml:space="preserve">The types of spinal injuries that Ms. and Mr. Pl1LastName and Mx. Third Name was diagnosed with (primarily symptomatic disk derangements in the neck and middle back) are highly consistent with the injury mechanism of the crash as well. Traumatic loading of the spine that results in axial (up and down) compression, particularly in combination with the other load types occurring with the subject collision, has the potential to damage the peripheral disk annulus, which surrounds and holds in the disk nucleus. Women in their early 3rd decade like Ms. Pl1LastName typically have asymptomatic age-related degenerative changes of the disks of the spine, a factor that increases the risk of injury in the event of the crash like the subject rear impact. </w:t>
      </w:r>
    </w:p>
    <w:p>
      <w:pPr>
        <w:pStyle w:val="Normal"/>
      </w:pPr>
    </w:p>
    <w:p>
      <w:pPr>
        <w:pStyle w:val="Normal"/>
      </w:pPr>
      <w:r>
        <w:t xml:space="preserve">Although the subject crash was no mere "bumper tap", traumatic spinal disk injuries do not require excessive levels of force.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7"/>
      </w:r>
      <w:r>
        <w:rPr>
          <w:rFonts/>
          <w:vertAlign w:val="superscript"/>
        </w:rPr>
        <w:t xml:space="preserve">-</w:t>
      </w:r>
      <w:r>
        <w:rPr>
          <w:rFonts/>
          <w:vertAlign w:val="superscript"/>
        </w:rPr>
        <w:footnoteReference w:id="8"/>
      </w:r>
      <w:r>
        <w:rPr>
          <w:rFonts/>
          <w:vertAlign w:val="superscript"/>
        </w:rPr>
        <w:footnoteReference w:id="9"/>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Ms. and Mr. Pl1LastName and Mx. Third Name’sbodies in the subject collision to have caused their medically documented injuries, and associated need for evaluation and treatment, including their left shoulder SLAP repair surgery, etc.</w:t>
      </w:r>
    </w:p>
    <w:p>
      <w:pPr>
        <w:pStyle w:val="Normal"/>
      </w:pPr>
      <w:r>
        <w:t xml:space="preserve">Shoulder three steps placeholder</w:t>
      </w:r>
    </w:p>
    <w:p>
      <w:pPr>
        <w:pStyle w:val="Normal"/>
      </w:pPr>
    </w:p>
    <w:p>
      <w:pPr>
        <w:pStyle w:val="Normal"/>
      </w:pPr>
    </w:p>
    <w:p>
      <w:pPr>
        <w:pStyle w:val="Normal"/>
      </w:pPr>
      <w:r>
        <w:rPr>
          <w:rFonts/>
          <w:b w:val="true"/>
        </w:rPr>
        <w:t xml:space="preserve">Conclusions</w:t>
      </w:r>
    </w:p>
    <w:p>
      <w:pPr>
        <w:pStyle w:val="Normal"/>
      </w:pPr>
    </w:p>
    <w:p>
      <w:pPr>
        <w:pStyle w:val="Normal"/>
      </w:pPr>
      <w:r>
        <w:t xml:space="preserve">Given the contiguous chain of causation from the day of the crash through Ms. and Mr. Pl1LastName and Mx. Third Name’s most recent medical records, the lack of any significant pre-crash history of persisting spine pain and need for treatment in the years prior to the crash, as well as the relative risk of significant and persisting spine injury from the subject frontal impact crash, I conclude that the most probable cause of the post-crash acute and chronic neck and low back injuries described in Ms. and Mr. Pl1LastName and Mx. Third Name’s medical records and summarized in this report, including their symptomatic cervical and lumbar disk derangements, is the subject January 1, 2020 frontal impact crash.</w:t>
      </w:r>
    </w:p>
    <w:p>
      <w:pPr>
        <w:pStyle w:val="Normal"/>
      </w:pPr>
      <w:r>
        <w:br w:type="page"/>
      </w:r>
    </w:p>
    <w:p>
      <w:pPr>
        <w:pStyle w:val="Normal"/>
      </w:pPr>
      <w:r>
        <w:t xml:space="preserve">I have examined neither Ms. nor Mr. Pl1LastName nor Mx. Third Name and I therefore have no opinions about their diagnoses, treatment, or prognoses outside of what is reflected in the medical record. This is not to say that I am not qualified, licensed, and extensively experienced in performing such evaluations, but that I have not done so in this case.</w:t>
      </w:r>
    </w:p>
    <w:p>
      <w:pPr>
        <w:pStyle w:val="Normal"/>
      </w:pPr>
    </w:p>
    <w:p>
      <w:pPr>
        <w:pStyle w:val="Normal"/>
      </w:pP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3657600" cy="1147218"/>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24"/>
                    <a:stretch>
                      <a:fillRect/>
                    </a:stretch>
                  </pic:blipFill>
                  <pic:spPr bwMode="auto">
                    <a:xfrm>
                      <a:off x="0" y="0"/>
                      <a:ext cx="50800" cy="15934"/>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1AB49" w14:textId="77777777" w:rsidR="00E91999" w:rsidRDefault="00E91999" w:rsidP="00D10DDB">
      <w:r>
        <w:separator/>
      </w:r>
    </w:p>
  </w:endnote>
  <w:endnote w:type="continuationSeparator" w:id="0">
    <w:p w14:paraId="045887A8" w14:textId="77777777" w:rsidR="00E91999" w:rsidRDefault="00E91999"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99B05" w14:textId="77777777" w:rsidR="00E91999" w:rsidRDefault="00E91999" w:rsidP="00D10DDB">
      <w:r>
        <w:separator/>
      </w:r>
    </w:p>
  </w:footnote>
  <w:footnote w:type="continuationSeparator" w:id="0">
    <w:p w14:paraId="45BC4282" w14:textId="77777777" w:rsidR="00E91999" w:rsidRDefault="00E91999"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Croft AC, Haneline MT, Freeman MD. Low speed frontal crashes and low speed rear crashes: is there a differential risk for injury? Annu Proc Assoc Adv Automot Med. 2002;46:79-91.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Croft AC, Herring P, Freeman MD, Haneline MT: The neck injury criterion (NIC): future considerations. Accid Anal Prev 2002;34(2):247-55</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LawyerFirst LawyerLast,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Pl1FirstName Pl1LastName; Pl2FirstName Pl1LastName; Third One Third Name et al. v SampleCaseDefendantName et al., Case No: CaseNoSample, SampleCourtName</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January 1, 2021</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1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5"/>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B5624D"/>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docx"/>
<Relationship Id="rId16" Type="http://schemas.openxmlformats.org/officeDocument/2006/relationships/aFChunk" Target=".//reconstruction.docx"/>
<Relationship Id="rId17" Type="http://schemas.openxmlformats.org/officeDocument/2006/relationships/image" Target="media/ab6805934d307ec675c09d8b98fa1bd2c73eb93c.png"/>
<Relationship Id="rId18" Type="http://schemas.openxmlformats.org/officeDocument/2006/relationships/image" Target="media/4f58674b5c1803718fca9638135da94019475773.png"/>
<Relationship Id="rId19" Type="http://schemas.openxmlformats.org/officeDocument/2006/relationships/image" Target="media/2dc1b6193a2d35ccdd16cbbdf3e27e2a043908ad.png"/>
<Relationship Id="rId20" Type="http://schemas.openxmlformats.org/officeDocument/2006/relationships/image" Target="media/20a312131b10c4eb5d654423a2b3787b70bc5613.png"/>
<Relationship Id="rId21" Type="http://schemas.openxmlformats.org/officeDocument/2006/relationships/image" Target="media/0491f5dd979730a367b039bad98a8309b2ceae7b.png"/>
<Relationship Id="rId22" Type="http://schemas.openxmlformats.org/officeDocument/2006/relationships/image" Target="media/d7c34c5d1ac6aa8465ee7eacf020e38473248105.png"/>
<Relationship Id="rId23" Type="http://schemas.openxmlformats.org/officeDocument/2006/relationships/image" Target="media/d8f13478b1741e9206727257c82873d5f40b4fff.png"/>
<Relationship Id="rId24" Type="http://schemas.openxmlformats.org/officeDocument/2006/relationships/image" Target="media/821d167f520f5ea63711bcf0690999a251515727.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72</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39</cp:revision>
  <dcterms:created xsi:type="dcterms:W3CDTF">2024-02-16T14:30:00Z</dcterms:created>
  <dcterms:modified xsi:type="dcterms:W3CDTF">2024-04-30T17:02:18Z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