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analysis of the causal relationship between the subject rear impact collision and Ms. and Mr. Pl1LastName and Mx. Third Name’s subsequently diagnosed disk injuries and need for treatment.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 Whether the injury mechanism had the potential to cause the injury in question (aka general causation);</w:t>
      </w:r>
    </w:p>
    <w:p>
      <w:pPr>
        <w:pStyle w:val="Normal"/>
      </w:pPr>
      <w:r>
        <w:t xml:space="preserve">The degree of temporal proximity between the injury mechanism and the onset of the symptoms reasonably indicating the presence of the injury; and</w:t>
      </w:r>
    </w:p>
    <w:p>
      <w:pPr>
        <w:pStyle w:val="Normal"/>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6"/>
    <w:p>
      <w:pPr>
        <w:pStyle w:val="Normal"/>
      </w:pPr>
    </w:p>
    <w:p>
      <w:pPr>
        <w:pStyle w:val="Normal"/>
      </w:pPr>
      <w:r>
        <w:rPr>
          <w:rFonts/>
          <w:i w:val="true"/>
        </w:rPr>
        <w:t xml:space="preserve">Injury biomechanics</w:t>
      </w:r>
    </w:p>
    <w:p>
      <w:pPr>
        <w:pStyle w:val="Normal"/>
      </w:pPr>
      <w:r>
        <w:t xml:space="preserve">The rear impact would have resulted in Ms. and Mr. Pl1LastName and Mx. Third Name’s torsos and heads initially being thrown rearwards into the seatback at around 10 mph, and then rebounding forward into the restraining seat belt and toward the steering wheel (the first part of the crash kinematics that they recall). They would have sustained substantial complex loads on their spines in the collision, loads that include compression, rotation, and shear all occurring at the same time and to varying degrees in less time than it takes to blink an eye (around 250 msecs).</w:t>
      </w:r>
    </w:p>
    <w:p>
      <w:pPr>
        <w:pStyle w:val="Normal"/>
      </w:pPr>
    </w:p>
    <w:p>
      <w:pPr>
        <w:pStyle w:val="Normal"/>
      </w:pPr>
      <w:r>
        <w:t xml:space="preserve">The most reliable and largest set of published data on occupant forces in rear impacts indicate that, for a 20-year-old female the average peak head acceleration of a 10-mph rear impact delta V would be around 8 g, which would translate to a peak cervical spinal disk load of around </w:t>
      </w:r>
      <w:r>
        <w:rPr>
          <w:rFonts/>
          <w:b w:val="true"/>
        </w:rPr>
        <w:t xml:space="preserve">100</w:t>
      </w:r>
      <w:r>
        <w:t xml:space="preserve"> lbs. on their necks.  The same data indicate a load of around 8 g on their low backs, which would translate to a peak load of around </w:t>
      </w:r>
      <w:r>
        <w:rPr>
          <w:rFonts/>
          <w:b w:val="true"/>
        </w:rPr>
        <w:t xml:space="preserve">360</w:t>
      </w:r>
      <w:r>
        <w:t xml:space="preserve"> lbs. on their lumbar spinal disks. These loads are more than sufficient to cause a wide range of musculoligamentous and skeletal injuries, including injuries to the intervertebral disks of the low back and neck. In the general population, the risk of a symptomatic cervical disk in a rear impact crash like the subject collision is represented in the chart below:</w:t>
      </w:r>
    </w:p>
    <w:p>
      <w:pPr>
        <w:pStyle w:val="Normal"/>
      </w:pPr>
    </w:p>
    <w:p>
      <w:pPr>
        <w:pStyle w:val="Subtitle"/>
      </w:pPr>
      <w:r>
        <w:rPr/>
        <w:drawing>
          <wp:inline distT="0" distB="0" distL="0" distR="0">
            <wp:extent cx="3840480" cy="3024655"/>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7"/>
                    <a:stretch>
                      <a:fillRect/>
                    </a:stretch>
                  </pic:blipFill>
                  <pic:spPr bwMode="auto">
                    <a:xfrm>
                      <a:off x="0" y="0"/>
                      <a:ext cx="53340" cy="42009"/>
                    </a:xfrm>
                    <a:prstGeom prst="rect">
                      <a:avLst/>
                    </a:prstGeom>
                    <a:noFill/>
                  </pic:spPr>
                </pic:pic>
              </a:graphicData>
            </a:graphic>
          </wp:inline>
        </w:drawing>
      </w:r>
    </w:p>
    <w:p>
      <w:pPr>
        <w:pStyle w:val="Caption"/>
      </w:pPr>
      <w:r>
        <w:t xml:space="preserve">Chart showing the relationship between a ~5 to 6 mph delta V (red band) rear impact and cervical disk injury risk observed in 113 people exposed to real-world crashes. As demonstrated in the chart, the risk of a cervical disk injury ranges from 2.5 to 3.3%, or around 1 in 40 to 1 in 30 in such a crash. The risk to the low back is approximately 60% that of the risk to the neck. </w:t>
      </w:r>
      <w:r>
        <w:rPr>
          <w:rFonts/>
          <w:i w:val="true"/>
        </w:rPr>
        <w:t xml:space="preserve">Note:</w:t>
      </w:r>
      <w:r>
        <w:t xml:space="preserve"> 5 to 6 mph is approximately equal to 8 to 10 km/h on the chart.</w:t>
      </w:r>
    </w:p>
    <w:p>
      <w:pPr>
        <w:pStyle w:val="Normal"/>
      </w:pPr>
    </w:p>
    <w:p>
      <w:pPr>
        <w:pStyle w:val="Normal"/>
      </w:pPr>
      <w:r>
        <w:t xml:space="preserve">Discussion</w:t>
      </w:r>
    </w:p>
    <w:p>
      <w:pPr>
        <w:pStyle w:val="Normal"/>
      </w:pPr>
      <w:r>
        <w:t xml:space="preserve">The types of spinal injuries that Ms. and Mr. Pl1LastName and Mx. Third Name was diagnosed with (primarily chronically symptomatic disk derangements) are highly consistent with the injury mechanism of the crash. Traumatic loading of the spine that results in axial (up and down) compression, particularly in combination with the other load types occurring with the subject collision, has the potential to damage the peripheral disk annulus, which surrounds and holds in the disk nucleus. Women in their early 3rd decade, like Ms. Pl1LastName (who was 20 at the time of the crash) typically have asymptomatic age-related degenerative changes of the disks of the spine, a fact that makes the post-crash findings in Ms. and Mr. Pl1LastName and Mx. Third Name’s imaging more likely to be a combination of post-traumatic overlaying degeneration, as opposed to solely due to either trauma or pre-existing degeneration.</w:t>
      </w:r>
    </w:p>
    <w:p>
      <w:pPr>
        <w:pStyle w:val="Normal"/>
      </w:pPr>
    </w:p>
    <w:p>
      <w:pPr>
        <w:pStyle w:val="Normal"/>
      </w:pPr>
      <w:r>
        <w:t xml:space="preserve">The symptoms of spinal disk injury may, in some cases, be instantly recognizable after a traffic crash because of the sudden onset of radiculopathy, but recent research has demonstrated that only about 1 in 17 cervical disk injuries are recognized as such in the ED after a crash.</w:t>
      </w:r>
      <w:r>
        <w:rPr>
          <w:rFonts/>
          <w:vertAlign w:val="superscript"/>
        </w:rPr>
        <w:footnoteReference w:id="5"/>
      </w:r>
      <w:r>
        <w:t xml:space="preserve"> By far, the majority (94%) of what are later determined to be spinal disk injuries are initially diagnosed as in the ED as spinal strains.</w:t>
      </w:r>
    </w:p>
    <w:p>
      <w:pPr>
        <w:pStyle w:val="Normal"/>
      </w:pPr>
    </w:p>
    <w:p>
      <w:pPr>
        <w:pStyle w:val="Normal"/>
      </w:pPr>
      <w:r>
        <w:t xml:space="preserve">Although the subject crash was no "bumper tap" it is well established in science and medicine that an excessive level of force is not required to cause symptomatic injury to a degenerated disk, and that in most cases, the diagnostic imaging of the disk will not reveal whether related symptoms are of a traumatic origin or not, in the absence of fracture.</w:t>
      </w:r>
      <w:r>
        <w:rPr>
          <w:rFonts/>
          <w:vertAlign w:val="superscript"/>
        </w:rPr>
        <w:footnoteReference w:id="6"/>
      </w:r>
      <w:r>
        <w:t xml:space="preserve"> Traumatic disk injuries have been described in the peer-reviewed literature as resulting from low to moderate force events, including minimal or no damage traffic crashes, roller coaster rides, and even more mild forces such as sneezing.</w:t>
      </w:r>
      <w:r>
        <w:rPr>
          <w:rFonts/>
          <w:vertAlign w:val="superscript"/>
        </w:rPr>
        <w:footnoteReference w:id="7"/>
      </w:r>
      <w:r>
        <w:rPr>
          <w:rFonts/>
          <w:vertAlign w:val="superscript"/>
        </w:rPr>
        <w:t xml:space="preserve">-</w:t>
      </w:r>
      <w:r>
        <w:rPr>
          <w:rFonts/>
          <w:vertAlign w:val="superscript"/>
        </w:rPr>
        <w:footnoteReference w:id="8"/>
      </w:r>
      <w:r>
        <w:rPr>
          <w:rFonts/>
          <w:vertAlign w:val="superscript"/>
        </w:rPr>
        <w:footnoteReference w:id="9"/>
      </w:r>
      <w:r>
        <w:rPr>
          <w:rFonts/>
          <w:vertAlign w:val="superscript"/>
        </w:rPr>
        <w:footnoteReference w:id="10"/>
      </w:r>
      <w:r>
        <w:rPr>
          <w:rFonts/>
          <w:vertAlign w:val="superscript"/>
        </w:rPr>
        <w:footnoteReference w:id="11"/>
      </w:r>
      <w:r>
        <w:rPr>
          <w:rFonts/>
          <w:vertAlign w:val="superscript"/>
        </w:rPr>
        <w:footnoteReference w:id="12"/>
      </w:r>
      <w:r>
        <w:rPr>
          <w:rFonts/>
          <w:vertAlign w:val="superscript"/>
        </w:rPr>
        <w:footnoteReference w:id="13"/>
      </w:r>
      <w:r>
        <w:t xml:space="preserve"> It is accurate to state that there is no established or generally accepted lower force threshold at which it can be said that an acute intervertebral disk injury in any part of the spine cannot occur.</w:t>
      </w:r>
    </w:p>
    <w:p>
      <w:pPr>
        <w:pStyle w:val="Normal"/>
      </w:pPr>
    </w:p>
    <w:p>
      <w:pPr>
        <w:pStyle w:val="Normal"/>
      </w:pPr>
      <w:r>
        <w:t xml:space="preserve">Based on the preceding discussion there was ample and biomechanically appropriate force exerted on Ms. and Mr. Pl1LastName and Mx. Third Name’s body in the subject collision to have caused their medically documented injuries, and associated need for evaluation and treatment, including their spinal pain management procedures, etc.</w:t>
      </w:r>
    </w:p>
    <w:p>
      <w:pPr>
        <w:pStyle w:val="Normal"/>
      </w:pPr>
    </w:p>
    <w:p>
      <w:pPr>
        <w:pStyle w:val="Normal"/>
      </w:pPr>
      <w:r>
        <w:br w:type="page"/>
      </w: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8"/>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p>
      <w:pPr>
        <w:pStyle w:val="Normal"/>
      </w:pPr>
      <w:r>
        <w:br w:type="page"/>
      </w:r>
    </w:p>
    <w:p>
      <w:pPr>
        <w:pStyle w:val="Normal"/>
      </w:pPr>
      <w:r>
        <w:t xml:space="preserve">Appendix</w:t>
      </w:r>
    </w:p>
    <w:p>
      <w:pPr>
        <w:pStyle w:val="Normal"/>
      </w:pPr>
    </w:p>
    <w:p>
      <w:pPr>
        <w:pStyle w:val="Normal"/>
      </w:pPr>
      <w:r>
        <w:t xml:space="preserve">The 3-step causation methodology that I have used in this case is set forth in a number of my peer-reviewed publications, including a paper entitled </w:t>
      </w:r>
      <w:r>
        <w:rPr>
          <w:rFonts/>
          <w:i w:val="true"/>
        </w:rPr>
        <w:t xml:space="preserve">A Systematic Approach to Clinical Determinations of Causation in Symptomatic Spinal Disk Injury Following Motor Vehicle Crash Trauma</w:t>
      </w:r>
      <w:r>
        <w:t xml:space="preserve">, published in the </w:t>
      </w:r>
      <w:r>
        <w:rPr>
          <w:rFonts/>
          <w:u w:val="single"/>
        </w:rPr>
        <w:t xml:space="preserve">Journal of Physical Medicine &amp; Rehabilitation</w:t>
      </w:r>
      <w:r>
        <w:t xml:space="preserve"> in 2009. I first described this 3-step methodology in a paper published in 2008 and have since published more than a dozen papers describing some of the manifold applications of the causation methodology. As I describe below, the 3-step causal methodology has recently become part of United States Appellate Court case law on injury causation.</w:t>
      </w:r>
    </w:p>
    <w:p>
      <w:pPr>
        <w:pStyle w:val="Normal"/>
      </w:pPr>
    </w:p>
    <w:p>
      <w:pPr>
        <w:pStyle w:val="Normal"/>
      </w:pPr>
      <w:r>
        <w:t xml:space="preserve">The methodology set forth in my 2009 paper consists of 3 steps or elements that need to be satisfied in an injury causation analysis in order to conclude that an injury resulted from a particular event to a reasonable degree of medical/ scientific probability, which are as follows:</w:t>
      </w:r>
    </w:p>
    <w:p>
      <w:pPr>
        <w:pStyle w:val="Normal"/>
      </w:pPr>
    </w:p>
    <w:p>
      <w:pPr>
        <w:pStyle w:val="NumberList"/>
      </w:pPr>
      <w:r>
        <w:t xml:space="preserve">1.	</w:t>
      </w:r>
      <w:r>
        <w:rPr>
          <w:rFonts/>
          <w:u w:val="single"/>
        </w:rPr>
        <w:t xml:space="preserve">Plausibility</w:t>
      </w:r>
      <w:r>
        <w:t xml:space="preserve">: This first step addresses whether it is biologically possible for the injury event to have caused the condition (a.k.a general causation). A finding of plausibility is unrelated to the frequency of the injury, because even if the injury occurs in only 1 in 100 or fewer cases of exposure to the event (e.g. a spinal disk injury following a car crash), it is still plausibly caused by the event. Plausibility is a relatively low hurdle to clear in a causal analysis and is largely satisfied by the lack of evidence of implausibility of the relationship. Although it is common in crash injury litigation for the defendant to assert minimal vehicle damage as a basis for disputing injury causation, the approach is unhelpful for evaluating plausibility, as such an analysis does not have a sufficiently low error rate to establish impossibility, and at best can only be used to suggest a low frequency of injury in the general population. An example of an impossible causal relationship is the discovery of leukemia the day after a crash, as it is well established that it is not biologically plausible for trauma to cause leukemia. Plausibility is often, but not necessarily, established with epidemiologic data or information.</w:t>
      </w:r>
    </w:p>
    <w:p>
      <w:pPr>
        <w:pStyle w:val="Normal"/>
      </w:pPr>
    </w:p>
    <w:p>
      <w:pPr>
        <w:pStyle w:val="NumberList"/>
      </w:pPr>
      <w:r>
        <w:t xml:space="preserve">2.	</w:t>
      </w:r>
      <w:r>
        <w:rPr>
          <w:rFonts/>
          <w:u w:val="single"/>
        </w:rPr>
        <w:t xml:space="preserve">Temporality</w:t>
      </w:r>
      <w:r>
        <w:t xml:space="preserve">: This second step examines the clinical and other evidence of the timing between the onset of the symptoms of injury and the injury event and must be satisfied to assess specific causation. First, it must be established that the sequence of the injury and the event is appropriate; the symptoms cannot be identically present prior to the event. Further, the onset of the symptoms of injury cannot be implausibly latent, relative to the injury event. For example, while the symptoms of a spinal disk injury in the neck may not immediately include upper extremity radiculopathy (most such injuries are initially diagnosed as a simple sprain or strain), a complete absence of symptoms in the neck for 3 months after a traffic crash, followed by the sudden insidious onset of symptoms of a cervical disk injury with radiculopathy, could not be plausibly related to the crash in most cases.</w:t>
      </w:r>
    </w:p>
    <w:p>
      <w:pPr>
        <w:pStyle w:val="Normal"/>
      </w:pPr>
    </w:p>
    <w:p>
      <w:pPr>
        <w:pStyle w:val="NumberList"/>
      </w:pPr>
      <w:r>
        <w:t xml:space="preserve">3.	</w:t>
      </w:r>
      <w:r>
        <w:rPr>
          <w:rFonts/>
          <w:u w:val="single"/>
        </w:rPr>
        <w:t xml:space="preserve">Lack of a more probable alternative explanation</w:t>
      </w:r>
      <w:r>
        <w:t xml:space="preserve">: This final step examines the probability of the injury condition occurring at the same point in time in the plaintiff, given what is known about the plaintiff from the review of medical records and other evidence, but in the absence of the injury event (a.k.a. differential etiology). First, evidence of competing injury events must be evaluated, and compared for injury risk. Then, the likelihood of the condition occurring spontaneously must be assessed. For example, the plaintiff may have evidence of degenerative changes in the spinal disks pre-existing a traffic crash, but no symptoms. The question of interest (after the first 2 steps are satisfied) is what the probability was that the condition would have "converted" from asymptomatic to symptomatic in the absence of ("but-for") the crash. Since there is no information that can be gleaned from an examination of the plaintiff regarding her or her condition in the hypothetical absence of the crash, epidemiologic data often serves as the basis for the evaluation of the probability of alternative explanations. More probable alternative explanations are often intervening traumatic events that alter the clinical history in a substantive way. As an example, for a plaintiff with neck strain symptoms that lasted for 1 week after a crash, who is then involved in second collision a month later that results in neck and arm pain and is ultimately diagnosed with a cervical disk herniation, the second collision is easily identified as a more probable cause of the disk derangement than the antecedent crash. This is in part due to the abrupt change in the distribution of the symptoms more consistent with a disk derangement, but also the epidemiologically based conclusion that it is rare for a cervical strain that improves rapidly to evolve into a cervical disk herniation, and thus but-for the second crash, the condition would not have manifested.</w:t>
      </w:r>
    </w:p>
    <w:p>
      <w:pPr>
        <w:pStyle w:val="Normal"/>
      </w:pPr>
    </w:p>
    <w:p>
      <w:pPr>
        <w:pStyle w:val="Normal"/>
      </w:pPr>
      <w:r>
        <w:t xml:space="preserve">The methodology described above was used to evaluate the cause of the Plaintiff’s injury in Etherton v Owners Insurance Company, entered on March 3, 2014 in United States District Court for the District of Colorado. In Etherton, the Plaintiff’s medical expert relied on the above referenced article to support her methodology (see footnote 3 on page 8 of the decision). The expert specified the same 3-step approach to assessing causation outlined above, described by the Court on page 8 of the order as follows:</w:t>
      </w:r>
    </w:p>
    <w:p>
      <w:pPr>
        <w:pStyle w:val="Normal"/>
      </w:pPr>
    </w:p>
    <w:p>
      <w:pPr>
        <w:pStyle w:val="Normal"/>
      </w:pPr>
      <w:r>
        <w:t xml:space="preserve">"…his first step was to determine general causation… whether or not the type of injury that the plaintiff sustained could have been caused by the type of collision that the plaintiff was in… her second step was to consider whether there was a temporal relationship between plaintiff’s injury and the collision… her third step was to… rule out alternative causes of plaintiff’s injury. "</w:t>
      </w:r>
    </w:p>
    <w:p>
      <w:pPr>
        <w:pStyle w:val="Normal"/>
      </w:pPr>
    </w:p>
    <w:p>
      <w:pPr>
        <w:pStyle w:val="Normal"/>
      </w:pPr>
      <w:r>
        <w:t xml:space="preserve">The defense challenged, among other things, the reliability and fit of the methods described by the expert. After an extensive examination and discussion of the 3-step process used by the expert, the Court found that the methodology appropriately fit the specific facts of the case, and that a population-based (epidemiologic) approach was an appropriate part of the causal methodology. The Court denied the Defendant’s motion to strike the expert’s testimony.</w:t>
      </w:r>
    </w:p>
    <w:p>
      <w:pPr>
        <w:pStyle w:val="Normal"/>
      </w:pPr>
    </w:p>
    <w:p>
      <w:pPr>
        <w:pStyle w:val="Normal"/>
      </w:pPr>
      <w:r>
        <w:t xml:space="preserve">The Defendant appealed the ruling from the District Court, and in July of 2016, the Tenth Circuit U.S. Court of Appeals unanimously affirmed the 3-step causal methodology described in my 2009 publication cited above as generally accepted and well established for assessing injury causation (see Etherton v. Owners Insurance Company, No. 14-1164, 10th Cir, entered on July 19, 2016). Using the 3-step methodology, the Court determined the expert’s methodology fit the specific facts in the case, and that the District Court properly applied Rule 702/Daubert standard to the expert’s testimony in finding his methodology reliable. The judicial panel included current Supreme Court Justice Neil Gorsuch.</w:t>
      </w:r>
    </w:p>
    <w:p>
      <w:pPr>
        <w:pStyle w:val="Normal"/>
      </w:pPr>
    </w:p>
    <w:p>
      <w:pPr>
        <w:pStyle w:val="Normal"/>
      </w:pPr>
      <w:r>
        <w:t xml:space="preserve">Below is a partial list of publications in scientific journals in which my descriptions of the 3-step methodology described in the Etherton decision and its various applications have been subjected to peer review. The foundation for the specific causation methodology described in all of these papers is the "Hill criteria, " a guideline for the assessment of general causation that has been universally relied on in medicine and science for more than 50 years.</w:t>
      </w:r>
    </w:p>
    <w:p>
      <w:pPr>
        <w:pStyle w:val="Normal"/>
      </w:pPr>
    </w:p>
    <w:p>
      <w:pPr>
        <w:pStyle w:val="Bibliography"/>
      </w:pPr>
      <w:r>
        <w:t xml:space="preserve">Dianita Ika Melia P, Zeegers MP, Herkutanto H, Freeman MD. Medicolegal causation investigation of bacterial endocarditis associated with an oral surgery practice using the INFERENCE approach. Int J Environ Res Public Health 2021:18,7530. https://doi.org/10.3390/ijerph18147530.</w:t>
      </w:r>
    </w:p>
    <w:p>
      <w:pPr>
        <w:pStyle w:val="Normal"/>
      </w:pPr>
    </w:p>
    <w:p>
      <w:pPr>
        <w:pStyle w:val="Bibliography"/>
      </w:pPr>
      <w:r>
        <w:t xml:space="preserve">Dianita Ika Melia P, Zeeger MP, Herkutanto H, Freeman MD. Development of the INFERENCE (INtegration of Forensic Epidemiology and the Rigorous EvaluatioN of Causation Elements) approach to causal inference in forensic medicine. Int J Environ Res Public Health 2020;17:8353; doi:10.3390/ijerph17228353</w:t>
      </w:r>
    </w:p>
    <w:p>
      <w:pPr>
        <w:pStyle w:val="Normal"/>
      </w:pPr>
    </w:p>
    <w:p>
      <w:pPr>
        <w:pStyle w:val="Bibliography"/>
      </w:pPr>
      <w:r>
        <w:t xml:space="preserve">Dianita Ika Melia P, Freeman MD, Herkutanto H, Zeeger MP. A review of causal inference in forensic medicine. For Sci Med Path 2020:doi.org/10.1007/s12024-020-00220-9.</w:t>
      </w:r>
    </w:p>
    <w:p>
      <w:pPr>
        <w:pStyle w:val="Normal"/>
      </w:pPr>
    </w:p>
    <w:p>
      <w:pPr>
        <w:pStyle w:val="Bibliography"/>
      </w:pPr>
      <w:r>
        <w:t xml:space="preserve">Freeman MD. A practicable and systematic approach to medicolegal causation. Orthopedics 2018;41(2):70-2.</w:t>
      </w:r>
    </w:p>
    <w:p>
      <w:pPr>
        <w:pStyle w:val="Normal"/>
      </w:pPr>
    </w:p>
    <w:p>
      <w:pPr>
        <w:pStyle w:val="Bibliography"/>
      </w:pPr>
      <w:r>
        <w:t xml:space="preserve">Freeman MD, Zeegers M. Principles and applications of forensic epidemiology in the medicolegal setting. Law, Probability, &amp; Risk 2015; doi:10.1093/lpr/mgv010.</w:t>
      </w:r>
    </w:p>
    <w:p>
      <w:pPr>
        <w:pStyle w:val="Normal"/>
      </w:pPr>
    </w:p>
    <w:p>
      <w:pPr>
        <w:pStyle w:val="Bibliography"/>
      </w:pPr>
      <w:r>
        <w:t xml:space="preserve">Freeman MD. Medicolegal causation analysis of a lumbar spine fracture following a low speed rear impact traffic crash. J Case Rep Prac 2015; 3(2): 23-29.</w:t>
      </w:r>
    </w:p>
    <w:p>
      <w:pPr>
        <w:pStyle w:val="Normal"/>
      </w:pPr>
    </w:p>
    <w:p>
      <w:pPr>
        <w:pStyle w:val="Bibliography"/>
      </w:pPr>
      <w:r>
        <w:t xml:space="preserve">Freeman MD, Cahn PJ, Franklin FA. Applied forensic epidemiology. Part 1: medical negligence. OA Epidemiology 2014;2(1):2.</w:t>
      </w:r>
    </w:p>
    <w:p>
      <w:pPr>
        <w:pStyle w:val="Normal"/>
      </w:pPr>
    </w:p>
    <w:p>
      <w:pPr>
        <w:pStyle w:val="Bibliography"/>
      </w:pPr>
      <w:r>
        <w:t xml:space="preserve">Koehler S, Freeman MD. Forensic epidemiology; a methodology for investigating and quantifying specific causation. Forens Sci Med Path 2014 Jun;10(2):217-22.</w:t>
      </w:r>
    </w:p>
    <w:p>
      <w:pPr>
        <w:pStyle w:val="Normal"/>
      </w:pPr>
    </w:p>
    <w:p>
      <w:pPr>
        <w:pStyle w:val="Bibliography"/>
      </w:pPr>
      <w:r>
        <w:t xml:space="preserve">Freeman MD, Kohles SS. An examination of the threshold criteria for the evaluation of specific causation of mesothelioma following a history of significant exposure to chrysotile asbestos-containing brake dust, Int J Occ Env Hlth 2012;18(4):329-36.</w:t>
      </w:r>
    </w:p>
    <w:p>
      <w:pPr>
        <w:pStyle w:val="Normal"/>
      </w:pPr>
    </w:p>
    <w:p>
      <w:pPr>
        <w:pStyle w:val="Bibliography"/>
      </w:pPr>
      <w:r>
        <w:t xml:space="preserve">Freeman MD, Everson T, Kohles SS. Forensic epidemiologic and biomechanical analysis of a pelvic cavity blowout injury associated with ejection from a personal watercraft (jet-ski). J Forens Sci 2012 doi: 10.1111/j.1556-4029.2012.02250.x</w:t>
      </w:r>
    </w:p>
    <w:p>
      <w:pPr>
        <w:pStyle w:val="Normal"/>
      </w:pPr>
    </w:p>
    <w:p>
      <w:pPr>
        <w:pStyle w:val="Bibliography"/>
      </w:pPr>
      <w:r>
        <w:t xml:space="preserve">Freeman MD, Kohles SS. Plasma levels of polychlorinated biphenyls, non-Hodgkin lymphoma, and causation. J Environ Public Health 2012;2012:258981. doi: 10.1155/2012/258981. Review.</w:t>
      </w:r>
    </w:p>
    <w:p>
      <w:pPr>
        <w:pStyle w:val="Normal"/>
      </w:pPr>
    </w:p>
    <w:p>
      <w:pPr>
        <w:pStyle w:val="Bibliography"/>
      </w:pPr>
      <w:r>
        <w:t xml:space="preserve">Freeman MD, Kohles SS. Application of the Hill Criteria to the Causal Association of Post-Traumatic Headache and Assault. Egypt J Forensic Sci 2011;1:35-40.</w:t>
      </w:r>
    </w:p>
    <w:p>
      <w:pPr>
        <w:pStyle w:val="Normal"/>
      </w:pPr>
    </w:p>
    <w:p>
      <w:pPr>
        <w:pStyle w:val="Bibliography"/>
      </w:pPr>
      <w:r>
        <w:t xml:space="preserve">Freeman MD, Kohles SS. Application of the Bradford-Hill Criteria for Assessing Specific Causation in Post-Traumatic Headache. Brain Inj Prof 2011;8(1):26-8.</w:t>
      </w:r>
    </w:p>
    <w:p>
      <w:pPr>
        <w:pStyle w:val="Normal"/>
      </w:pPr>
    </w:p>
    <w:p>
      <w:pPr>
        <w:pStyle w:val="Bibliography"/>
      </w:pPr>
      <w:r>
        <w:t xml:space="preserve">Freeman MD, Kohles SS. An Evaluation of Applied Biomechanics as an adjunct to systematic specific causation in forensic medicine. Wien Med Wochenschr 2011;161:1-11.</w:t>
      </w:r>
    </w:p>
    <w:p>
      <w:pPr>
        <w:pStyle w:val="Normal"/>
      </w:pPr>
    </w:p>
    <w:p>
      <w:pPr>
        <w:pStyle w:val="Bibliography"/>
      </w:pPr>
      <w:r>
        <w:t xml:space="preserve">Freeman MD, Centeno CJ, Kohles SS. A systematic approach to clinical determinations of causation in symptomatic spinal disc injury following motor vehicle crash trauma. PM R 2009;1(10):951-6.</w:t>
      </w:r>
    </w:p>
    <w:p>
      <w:pPr>
        <w:pStyle w:val="Normal"/>
      </w:pPr>
    </w:p>
    <w:p>
      <w:pPr>
        <w:pStyle w:val="Bibliography"/>
      </w:pPr>
      <w:r>
        <w:t xml:space="preserve">Freeman MD, Rossignol AC, Hand M. Forensic Epidemiology: A systematic approach to probabilistic determinations in disputed matters. J Forensic Legal Med 2008;15(5):281-90.</w:t>
      </w:r>
    </w:p>
    <w:sectPr w:rsidR="008C0119" w:rsidRPr="006E0127" w:rsidSect="00AD47D7">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6EB1" w14:textId="77777777" w:rsidR="00AD47D7" w:rsidRDefault="00AD47D7" w:rsidP="00D10DDB">
      <w:r>
        <w:separator/>
      </w:r>
    </w:p>
  </w:endnote>
  <w:endnote w:type="continuationSeparator" w:id="0">
    <w:p w14:paraId="2239ADC5" w14:textId="77777777" w:rsidR="00AD47D7" w:rsidRDefault="00AD47D7"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8A04" w14:textId="77777777" w:rsidR="00AD47D7" w:rsidRDefault="00AD47D7" w:rsidP="00D10DDB">
      <w:r>
        <w:separator/>
      </w:r>
    </w:p>
  </w:footnote>
  <w:footnote w:type="continuationSeparator" w:id="0">
    <w:p w14:paraId="373CE550" w14:textId="77777777" w:rsidR="00AD47D7" w:rsidRDefault="00AD47D7"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Fardon et al. Lumbar disc nomenclature: version 2.0: Recommendations of the combined task forces of the North American Spine Society, the American Society of Spine Radiology and the American Society of Neuroradiology. Spine J. 2014;14(11):2525-45.</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1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1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CC6B59"/>
    <w:pPr>
      <w:ind w:left="709"/>
    </w:pPr>
    <w:rPr>
      <w:i/>
      <w:iCs/>
      <w:lang w:bidi="en-US"/>
    </w:rPr>
  </w:style>
  <w:style w:type="character" w:customStyle="1" w:styleId="QuoteChar">
    <w:name w:val="Quote Char"/>
    <w:basedOn w:val="DefaultParagraphFont"/>
    <w:link w:val="Quote"/>
    <w:rsid w:val="00CC6B5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reconstruction.docx"/>
<Relationship Id="rId17" Type="http://schemas.openxmlformats.org/officeDocument/2006/relationships/image" Target="media/b84fc1c076afae82d3ecba579d5756d4afb4bb02.png"/>
<Relationship Id="rId18"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38</cp:revision>
  <dcterms:created xsi:type="dcterms:W3CDTF">2024-02-16T14:30:00Z</dcterms:created>
  <dcterms:modified xsi:type="dcterms:W3CDTF">2024-04-22T18:07:18Z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