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background_facts.docx" ContentType="application/vnd.openxmlformats-officedocument.wordprocessingml.document.main+xml"/>
  <Override PartName="/word/med_hx.docx" ContentType="application/vnd.openxmlformats-officedocument.wordprocessingml.document.main+xml"/>
  <Override PartName="/word/reconstruction.docx" ContentType="application/vnd.openxmlformats-officedocument.wordprocessingml.document.main+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BodyText2"/>
      </w:pPr>
      <w:r>
        <w:t xml:space="preserve">January 1, 2021</w:t>
      </w:r>
    </w:p>
    <w:p>
      <w:pPr>
        <w:pStyle w:val="BodyText2"/>
      </w:pPr>
    </w:p>
    <w:p>
      <w:pPr>
        <w:pStyle w:val="BodyText2"/>
      </w:pPr>
      <w:r>
        <w:t xml:space="preserve">LawyerFirst LawyerLast Esquire</w:t>
      </w:r>
    </w:p>
    <w:p>
      <w:pPr>
        <w:pStyle w:val="BodyText2"/>
      </w:pPr>
      <w:r>
        <w:t xml:space="preserve">SampleFirmName</w:t>
      </w:r>
    </w:p>
    <w:p>
      <w:pPr>
        <w:pStyle w:val="BodyText2"/>
      </w:pPr>
      <w:r>
        <w:t xml:space="preserve">123 Address St.</w:t>
      </w:r>
    </w:p>
    <w:p>
      <w:pPr>
        <w:pStyle w:val="BodyText2"/>
      </w:pPr>
      <w:r>
        <w:t xml:space="preserve">CityVille, StateLand 12345</w:t>
      </w:r>
    </w:p>
    <w:p>
      <w:pPr>
        <w:pStyle w:val="BodyText2"/>
      </w:pPr>
    </w:p>
    <w:p>
      <w:pPr>
        <w:pStyle w:val="BodyText2"/>
      </w:pPr>
      <w:r>
        <w:t xml:space="preserve">Tel: (012) 345-6789</w:t>
      </w:r>
    </w:p>
    <w:p>
      <w:pPr>
        <w:pStyle w:val="BodyText2"/>
      </w:pPr>
    </w:p>
    <w:p>
      <w:pPr>
        <w:pStyle w:val="BodyText2"/>
      </w:pPr>
    </w:p>
    <w:p>
      <w:pPr>
        <w:pStyle w:val="BodyText2"/>
      </w:pPr>
      <w:r>
        <w:t xml:space="preserve">RE:	</w:t>
      </w:r>
      <w:r>
        <w:rPr>
          <w:rFonts/>
          <w:i w:val="true"/>
        </w:rPr>
        <w:t xml:space="preserve">Pl1FirstName Pl1LastName; Pl2FirstName Pl1LastName; Third One Third Name et al. v SampleCaseDefendantName et al., Case No: CaseNoSample, SampleCourtName</w:t>
      </w:r>
    </w:p>
    <w:p>
      <w:pPr>
        <w:pStyle w:val="BodyText2"/>
      </w:pPr>
    </w:p>
    <w:p>
      <w:pPr>
        <w:pStyle w:val="BodyText2"/>
      </w:pPr>
    </w:p>
    <w:p>
      <w:pPr>
        <w:pStyle w:val="BodyText2"/>
      </w:pPr>
      <w:r>
        <w:t xml:space="preserve">Date of Crash:	January 1, 2020</w:t>
      </w:r>
    </w:p>
    <w:p>
      <w:pPr>
        <w:pStyle w:val="BodyText2"/>
      </w:pPr>
      <w:r>
        <w:t xml:space="preserve">Date of Birth:	</w:t>
      </w:r>
      <w:r>
        <w:rPr>
          <w:rFonts/>
          <w:i w:val="true"/>
        </w:rPr>
        <w:t xml:space="preserve">Pl1FirstName Pl1LastName: </w:t>
      </w:r>
      <w:r>
        <w:t xml:space="preserve">January 1, 1999</w:t>
      </w:r>
      <w:r>
        <w:t xml:space="preserve"> [</w:t>
      </w:r>
      <w:r>
        <w:t xml:space="preserve">20</w:t>
      </w:r>
      <w:r>
        <w:t xml:space="preserve"> years old at time of crash]</w:t>
      </w:r>
    </w:p>
    <w:p>
      <w:pPr>
        <w:pStyle w:val="BodyText2"/>
      </w:pPr>
      <w:r>
        <w:t xml:space="preserve">	</w:t>
      </w:r>
      <w:r>
        <w:rPr>
          <w:rFonts/>
          <w:i w:val="true"/>
        </w:rPr>
        <w:t xml:space="preserve">Pl2FirstName Pl1LastName: </w:t>
      </w:r>
      <w:r>
        <w:t xml:space="preserve">January 2, 1990</w:t>
      </w:r>
      <w:r>
        <w:t xml:space="preserve"> [</w:t>
      </w:r>
      <w:r>
        <w:t xml:space="preserve">29</w:t>
      </w:r>
      <w:r>
        <w:t xml:space="preserve"> years old at time of crash]</w:t>
      </w:r>
    </w:p>
    <w:p>
      <w:pPr>
        <w:pStyle w:val="BodyText2"/>
      </w:pPr>
      <w:r>
        <w:t xml:space="preserve">	</w:t>
      </w:r>
      <w:r>
        <w:rPr>
          <w:rFonts/>
          <w:i w:val="true"/>
        </w:rPr>
        <w:t xml:space="preserve">Third One Third Name: </w:t>
      </w:r>
      <w:r>
        <w:t xml:space="preserve">January 4, 1994</w:t>
      </w:r>
      <w:r>
        <w:t xml:space="preserve"> [</w:t>
      </w:r>
      <w:r>
        <w:t xml:space="preserve">25</w:t>
      </w:r>
      <w:r>
        <w:t xml:space="preserve"> years old at time of crash]</w:t>
      </w:r>
    </w:p>
    <w:p>
      <w:pPr>
        <w:pStyle w:val="BodyText2"/>
      </w:pPr>
    </w:p>
    <w:p>
      <w:pPr>
        <w:pStyle w:val="BodyText2"/>
      </w:pPr>
    </w:p>
    <w:p>
      <w:pPr>
        <w:pStyle w:val="Normal"/>
      </w:pPr>
      <w:r>
        <w:t xml:space="preserve">Dear Mr. LawyerLast</w:t>
      </w:r>
      <w:r>
        <w:t xml:space="preserve">,</w:t>
      </w:r>
    </w:p>
    <w:p>
      <w:pPr>
        <w:pStyle w:val="Normal"/>
      </w:pPr>
    </w:p>
    <w:p>
      <w:pPr>
        <w:pStyle w:val="Normal"/>
      </w:pPr>
      <w:r>
        <w:t xml:space="preserve">I am in receipt of your correspondence regarding the above-named </w:t>
      </w:r>
      <w:r>
        <w:t xml:space="preserve">action</w:t>
      </w:r>
      <w:r>
        <w:t xml:space="preserve">. I have reviewed the documentation accompanying your correspondence including medical records, information regarding the subject crash, litigation documents, and other materials</w:t>
      </w:r>
      <w:r>
        <w:t xml:space="preserve">.</w:t>
      </w:r>
    </w:p>
    <w:p>
      <w:pPr>
        <w:pStyle w:val="Normal"/>
      </w:pPr>
    </w:p>
    <w:p>
      <w:pPr>
        <w:pStyle w:val="Normal"/>
      </w:pPr>
      <w:r>
        <w:t xml:space="preserve">The purpose of this report is to provide an opinion regarding the causal relationship between the degree of roof crush observed in the subject PlCarMake PlCarModel and the severe spine and spinal cord injuries sustained by Ms. and Mr. Pl1LastName and Mx. Third Name in the January 1, 2020, rollover crash. Specifically, my opinions address the theory of occupant "diving" in rollover crashes as the cause of serious head and neck injury, versus excessive roof crush. The methods and conclusions described in this report are largely based on peer-reviewed published research that I supervised and co-authored, specifically:</w:t>
      </w:r>
    </w:p>
    <w:p>
      <w:pPr>
        <w:pStyle w:val="Normal"/>
      </w:pPr>
    </w:p>
    <w:p>
      <w:pPr>
        <w:pStyle w:val="Quote"/>
      </w:pPr>
      <w:r>
        <w:t xml:space="preserve">Dobbertin KM, Freeman MD, Lambert WE, Lasarev MR, Kohles SS. The relationship between vehicle roof crush and head, neck and spine injury in rollover crashes. Accid Anal Prev 2013;58:46-52</w:t>
      </w:r>
    </w:p>
    <w:p>
      <w:pPr>
        <w:pStyle w:val="Quote"/>
      </w:pPr>
      <w:r>
        <w:t xml:space="preserve">Freeman MD, Dobbertin K, Kohles SS, Uhrenholt L, Eriksson A. Serious head and neck injury as a predictor of occupant position in fatal rollover crashes. Forensic Sci Int 2012;222:228–33.</w:t>
      </w:r>
    </w:p>
    <w:p>
      <w:pPr>
        <w:pStyle w:val="Normal"/>
      </w:pPr>
    </w:p>
    <w:p>
      <w:pPr>
        <w:pStyle w:val="Normal"/>
      </w:pPr>
      <w:r>
        <w:t xml:space="preserve">The conclusions of the investigation described herein, as they apply to Ms. and Mr. Pl1LastName and Mx. Third Name 's injuries and the subject crash, are described beginning on page 41 of this report.</w:t>
      </w:r>
    </w:p>
    <w:p>
      <w:pPr>
        <w:pStyle w:val="Normal"/>
      </w:pPr>
    </w:p>
    <w:p>
      <w:pPr>
        <w:pStyle w:val="Normal"/>
      </w:pPr>
      <w:r>
        <w:rPr>
          <w:rFonts/>
          <w:i w:val="true"/>
        </w:rPr>
        <w:t xml:space="preserve">My qualifications to provide opinions concerning the matters herein, particularly on issues of the causal relationship between trauma and injury, are as follows:</w:t>
      </w:r>
    </w:p>
    <w:p>
      <w:pPr>
        <w:pStyle w:val="Normal"/>
      </w:pPr>
    </w:p>
    <w:p>
      <w:pPr>
        <w:pStyle w:val="Normal"/>
      </w:pPr>
      <w:r>
        <w:t xml:space="preserve">I am Professor and Chair of Forensic and Legal Medicine with the Faculty of Forensic and Legal Medicine of the Royal College of Physicians (UK), and a consultant in the fields of forensic medicine and forensic epidemiology. I am credentialed as a Fellow of the Royal College of Pathologists (UK), Fellow of the Faculty of Forensic and Legal Medicine (FFLM) of the Royal College of Physicians (UK) and member of the British Association in Forensic Medicine. I hold the following relevant academic degrees and certifications: a Doctor of Medicine degree (Med.Dr.) from Umeå University, a Doctor of Philosophy (Ph.D.) in public health/epidemiology from Oregon State University, a Master of Public Health (MPH) in epidemiology and biostatistics, also from Oregon State University, a master’s degree in forensic medical sciences (MScFMS) with the Academy of Forensic Medical Sciences in the United Kingdom, i.a. In addition to my degreed education, I have completed a 2-year post-doctoral fellowship in forensic pathology at Umeå University in Sweden and hold a Diploma of Legal Medicine (DLM) with the FFLM. I am also a fellow of both the American Academy of Forensic Sciences and the American College of Epidemiology. I am a Fulbright Fellow and held a 3-year roster appointment (2017-20) with the United States Department of State as a Fulbright Specialist in the field of forensic medicine. I serve as tenured Associate Professor of Forensic Medicine at Maastricht University and a joint Clinical Professor of Psychiatry and Public Health and Preventative Medicine at Oregon Health and Science University School of Medicine, where I have taught courses for the past 24 years in forensic medicine, forensic epidemiology, and injury epidemiology. From 2005-2017 I held an appointment as an Adjunct Professor of Forensic Medicine and Epidemiology at the Institute of Forensic Medicine, Faculty of Health Sciences, Aarhus University, Aarhus, Denmark, and am a recent (2020-21) visiting professor at University of Indonesia in the Faculty of Medicine.</w:t>
      </w:r>
    </w:p>
    <w:p>
      <w:pPr>
        <w:pStyle w:val="Normal"/>
      </w:pPr>
    </w:p>
    <w:p>
      <w:pPr>
        <w:pStyle w:val="Normal"/>
      </w:pPr>
      <w:r>
        <w:t xml:space="preserve">I have been a crash reconstructionist since 1996 and have had ACTAR accreditation (the Accreditation Commission on Traffic Accident Reconstruction) since 2005. Over the past &gt;25 years I have participated in the reconstruction of more than 3,000 crashes, including more than 300 fatalities. From 1999 through 2007 I served as a vehicular homicide investigator for law enforcement (consultant to the state medical examiner and special deputy sheriff), and I am a former affiliate medical examiner with the Allegheny County Medical Examiner’s office.</w:t>
      </w:r>
    </w:p>
    <w:p>
      <w:pPr>
        <w:pStyle w:val="Normal"/>
      </w:pPr>
    </w:p>
    <w:p>
      <w:pPr>
        <w:pStyle w:val="Normal"/>
      </w:pPr>
      <w:r>
        <w:t xml:space="preserve">I am a member of the American Society of Biomechanics and have more than 60 scientific publications pertaining to injury biomechanics, including a book for the Society of Automotive Engineering and taught injury biomechanics in a faculty peer-reviewed course at OHSU for 15 years. I have served as a consultant on injury biomechanics to state and federal government.</w:t>
      </w:r>
    </w:p>
    <w:p>
      <w:pPr>
        <w:pStyle w:val="Normal"/>
      </w:pPr>
    </w:p>
    <w:p>
      <w:pPr>
        <w:pStyle w:val="Normal"/>
      </w:pPr>
      <w:r>
        <w:t xml:space="preserve">I am an associate editor of the Journal of Forensic and Legal Medicine and serve or have served as an associate editor or editorial board member of 14 additional scientific peer-reviewed journals. I have published approximately 230 scientific papers, abstracts, book chapters and books on topics that include traffic crash injuries, crash reconstruction, injury causation and injury biomechanics, including the text for Elsevier, Forensic Epidemiology: Principles and Practice (2016). My publications have been cited by other authors more than 4,700 times.</w:t>
      </w:r>
    </w:p>
    <w:p>
      <w:pPr>
        <w:pStyle w:val="Normal"/>
      </w:pPr>
    </w:p>
    <w:p>
      <w:pPr>
        <w:pStyle w:val="Normal"/>
      </w:pPr>
      <w:r>
        <w:t xml:space="preserve">I have provided testimony in more than 400 civil and criminal trials in state and Federal courts throughout the United States, Canada, and Australia. Please see my CV for further details.</w:t>
      </w:r>
      <w:r>
        <w:br w:type="page"/>
      </w:r>
    </w:p>
    <w:altChunk r:id="rId14"/>
    <w:p>
      <w:pPr>
        <w:pStyle w:val="Normal"/>
      </w:pPr>
    </w:p>
    <w:p>
      <w:pPr>
        <w:pStyle w:val="Normal"/>
      </w:pPr>
      <w:r>
        <w:t xml:space="preserve">At the time of the crash, </w:t>
      </w:r>
    </w:p>
    <w:altChunk r:id="rId15"/>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t xml:space="preserve">,</w:t>
      </w:r>
      <w:r>
        <w:rPr>
          <w:rFonts/>
          <w:vertAlign w:val="superscript"/>
        </w:rPr>
        <w:footnoteReference w:id="2"/>
      </w:r>
      <w:r>
        <w:t xml:space="preserve"> This 3-step methodology has been extensively described in the peer-reviewed literature, been deemed generally accepted by Courts in the United States, and has been adopted as part of case law in the U.S.</w:t>
      </w:r>
      <w:r>
        <w:rPr>
          <w:rFonts/>
          <w:vertAlign w:val="superscript"/>
        </w:rPr>
        <w:footnoteReference w:id="3"/>
      </w:r>
      <w:r>
        <w:rPr>
          <w:rFonts/>
          <w:vertAlign w:val="superscript"/>
        </w:rPr>
        <w:t xml:space="preserve">,</w:t>
      </w:r>
      <w:r>
        <w:rPr>
          <w:rFonts/>
          <w:vertAlign w:val="superscript"/>
        </w:rPr>
        <w:footnoteReference w:id="4"/>
      </w:r>
      <w:r>
        <w:t xml:space="preserve"> See the Appendix at the end of this report for more information.</w:t>
      </w:r>
    </w:p>
    <w:p>
      <w:pPr>
        <w:pStyle w:val="Normal"/>
      </w:pPr>
    </w:p>
    <w:p>
      <w:pPr>
        <w:pStyle w:val="Normal"/>
      </w:pPr>
      <w:r>
        <w:t xml:space="preserve">The three fundamental elements or steps of an injury causation analysis are as follows:</w:t>
      </w:r>
    </w:p>
    <w:p>
      <w:pPr>
        <w:pStyle w:val="BodyText3"/>
      </w:pPr>
      <w:r>
        <w:t xml:space="preserve">Whether the injury mechanism had the potential to cause the injury in question (aka general causation);</w:t>
      </w:r>
    </w:p>
    <w:p>
      <w:pPr>
        <w:pStyle w:val="BodyText3"/>
      </w:pPr>
      <w:r>
        <w:t xml:space="preserve">The degree of temporal proximity between the injury mechanism and the onset of the symptoms reasonably indicating the presence of the injury; and</w:t>
      </w:r>
    </w:p>
    <w:p>
      <w:pPr>
        <w:pStyle w:val="BodyText3"/>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altChunk r:id="rId16"/>
    <w:p>
      <w:pPr>
        <w:pStyle w:val="Normal"/>
      </w:pPr>
    </w:p>
    <w:p>
      <w:pPr>
        <w:pStyle w:val="Normal"/>
      </w:pPr>
      <w:r>
        <w:rPr>
          <w:rFonts/>
          <w:i w:val="true"/>
        </w:rPr>
        <w:t xml:space="preserve">Injury biomechanics</w:t>
      </w:r>
    </w:p>
    <w:p>
      <w:pPr>
        <w:pStyle w:val="Normal"/>
      </w:pPr>
      <w:r>
        <w:t xml:space="preserve">Rollover other injury biomechanics causation placeholder</w:t>
      </w:r>
    </w:p>
    <w:p>
      <w:pPr>
        <w:pStyle w:val="Normal"/>
      </w:pPr>
    </w:p>
    <w:p>
      <w:pPr>
        <w:pStyle w:val="Normal"/>
      </w:pPr>
      <w:r>
        <w:rPr>
          <w:rFonts/>
          <w:b w:val="true"/>
        </w:rPr>
        <w:t xml:space="preserve">Temporal relationship between the crash and symptoms indicative of injury</w:t>
      </w:r>
    </w:p>
    <w:p>
      <w:pPr>
        <w:pStyle w:val="Normal"/>
      </w:pPr>
      <w:r>
        <w:t xml:space="preserve">The second step of the injury causation analysis is the assessment of the timing between the trauma and the onset of symptoms indicative of injury. The hallmark of injury is that "you know it when it happens;" </w:t>
      </w:r>
      <w:r>
        <w:rPr>
          <w:rFonts/>
          <w:i w:val="true"/>
        </w:rPr>
        <w:t xml:space="preserve">i.e.</w:t>
      </w:r>
      <w:r>
        <w:t xml:space="preserve"> the causal relationship between the trauma and onset of the symptoms indicative of the injury is usually close enough in time that it is easy to recognize when the injury was incurred. There are some injuries that exhibit a delayed onset of symptoms, including injuries to intervertebral disks, which can first manifest with identical symptoms to a simple spinal strain. Other injuries are always immediately apparent, such as bony fractures. Some injuries are considered "distracting" from others because the pain they generate distracts attention from other, less painful injuries. There are still other injuries that can "mask" pain from nearby parts of the body through complicated pain accommodation mechanisms that are mediated at the spinal cord and in the brain. The assessment of the timing of the onset of symptoms reasonably attributed to an injury can sometimes be nuanced and complicated, and sometimes requires expert assessment.</w:t>
      </w:r>
    </w:p>
    <w:p>
      <w:pPr>
        <w:pStyle w:val="Normal"/>
      </w:pPr>
    </w:p>
    <w:p>
      <w:pPr>
        <w:pStyle w:val="Normal"/>
      </w:pPr>
      <w:r>
        <w:t xml:space="preserve">Ms. Pl1LastName experienced the onset of symptoms indicative of acute spinal injury immediately after the crash, and he was diagnosed with neck and back injuries directly by 3 days following the crash, including the presentation of lower extremity radicular symptoms, an ominous early sign of injury to the intervertebral disks in the spine. The symptoms and diagnoses progressively evolved and worsened over the weeks and months following the crash and demonstrate a well-documented contiguous chain of causation linking the subject crash and their low back and cervical spinal injuries, and associated need for treatment.</w:t>
      </w:r>
    </w:p>
    <w:p>
      <w:pPr>
        <w:pStyle w:val="Normal"/>
      </w:pPr>
    </w:p>
    <w:p>
      <w:pPr>
        <w:pStyle w:val="Normal"/>
      </w:pPr>
      <w:r>
        <w:t xml:space="preserve">Based on this history, there was a strong temporal relationship between the subject collision and Ms. and Mr. Pl1LastName and Mx. Third Name’s first development of symptoms indicative of spinal injury.</w:t>
      </w:r>
    </w:p>
    <w:p>
      <w:pPr>
        <w:pStyle w:val="Normal"/>
      </w:pPr>
    </w:p>
    <w:p>
      <w:pPr>
        <w:pStyle w:val="Normal"/>
      </w:pPr>
    </w:p>
    <w:p>
      <w:pPr>
        <w:pStyle w:val="Normal"/>
      </w:pPr>
      <w:r>
        <w:rPr>
          <w:rFonts/>
          <w:b w:val="true"/>
        </w:rPr>
        <w:t xml:space="preserve">Alternative explanations</w:t>
      </w:r>
    </w:p>
    <w:p>
      <w:pPr>
        <w:pStyle w:val="Normal"/>
      </w:pPr>
      <w:r>
        <w:t xml:space="preserve">This last step of the injury causation analysis specific to the individual involves the assessment of the probability of the same symptoms, injuries, diagnoses, and need for treatment occurring at the same point in time, but in the absence of the investigated crash.</w:t>
      </w:r>
    </w:p>
    <w:p>
      <w:pPr>
        <w:pStyle w:val="Normal"/>
      </w:pPr>
    </w:p>
    <w:p>
      <w:pPr>
        <w:pStyle w:val="Normal"/>
      </w:pPr>
      <w:r>
        <w:t xml:space="preserve">This part of the analysis is accomplished in 2 ways; first and most obviously, any competing contemporaneous traumatic cause of injury must be ruled out. There is, however, no such history for Ms. or Mr. Pl1LastName or Mx. Third Name, and the only source of trauma apparent in my review of materials that is temporally proximate to their post-crash injuries is the January 1, 2020 rollover impact crash.</w:t>
      </w:r>
    </w:p>
    <w:p>
      <w:pPr>
        <w:pStyle w:val="Normal"/>
      </w:pPr>
    </w:p>
    <w:p>
      <w:pPr>
        <w:pStyle w:val="Normal"/>
      </w:pPr>
      <w:r>
        <w:t xml:space="preserve">The second part of the analysis requires an assessment of the probability that Ms. or Mr. Pl1LastName or Mx. Third Name would have developed the symptoms and diagnoses of spine injury at the same point in time had they not been initially injured in the January 1, 2020 rollover impact crash. As a generally healthy 12-year-old man, Ms. and Mr. Pl1LastName and Mx. Third Name was at a negligible annual risk of spontaneously developing chronically painful and potentially surgical cervical or lumbar spinal disk derangements; less than 1 in 2,000 is indicated by epidemiologic study and national hospital data.</w:t>
      </w:r>
      <w:r>
        <w:rPr>
          <w:rFonts/>
          <w:vertAlign w:val="superscript"/>
        </w:rPr>
        <w:footnoteReference w:id="5"/>
      </w:r>
      <w:r>
        <w:t xml:space="preserve"> The chance that they were going to develop the onset of chronic neck or low back pain attributable to symptomatic disk derangements on the same day as the crash by pure coincidence is obviously much smaller; less than 1 in 730,000 (the annual risk divided by 365 days). In comparison the risk of acute spine injury in the subject crash was more than 50%, and the risk of a spinal disk injury was likely no less than 1 in 25 in the general population.  Based on this comparison of risk during the timeframe of interest, the crash is the most likely cause of Ms. and Mr. Pl1LastName and Mx. Third Name’s chronic spinal injuries by &gt;99%.</w:t>
      </w:r>
    </w:p>
    <w:p>
      <w:pPr>
        <w:pStyle w:val="Normal"/>
      </w:pPr>
    </w:p>
    <w:p>
      <w:pPr>
        <w:pStyle w:val="Normal"/>
      </w:pPr>
      <w:r>
        <w:t xml:space="preserve">A relatively common medicolegal question is whether persisting symptoms of back or neck pain after a traffic crash are truly related to the crash, or more probably due to other factors incidental to an acute crash-related injury to the spine. Most typically, the "other factors" that are raised in a medicolegal setting are the presence of pre-existing degenerative changes in the spine, or pre-crash history of low level or sporadic symptoms.</w:t>
      </w:r>
    </w:p>
    <w:p>
      <w:pPr>
        <w:pStyle w:val="Normal"/>
      </w:pPr>
    </w:p>
    <w:p>
      <w:pPr>
        <w:pStyle w:val="Normal"/>
      </w:pPr>
      <w:r>
        <w:t xml:space="preserve">The answer to this question is now decided science. Along with my research colleagues, I have recently published 2 analyses and systematic reviews of nearly 10,000 articles regarding the long-term effects of traffic crash-related injury to the neck and low back and associated chronic pain. ,  Systematic reviews are considered the most reliable and strongest form of scientific evidence (i.e. Level I evidence), as they consist of a comprehensive synthesis of world literature on a topic.  The result of the analyses indicate that when women like Ms. and Mr. Pl1LastName and Mx. Third Name have persisting neck or back pain after an acute crash-related injury, </w:t>
      </w:r>
      <w:r>
        <w:rPr>
          <w:rFonts/>
          <w:i w:val="true"/>
        </w:rPr>
        <w:t xml:space="preserve">more often than not</w:t>
      </w:r>
      <w:r>
        <w:t xml:space="preserve"> (&gt;50% of the time) the symptoms are due to the crash, versus all other causes, regardless of pre-crash medical history.</w:t>
      </w:r>
    </w:p>
    <w:p>
      <w:pPr>
        <w:pStyle w:val="Normal"/>
      </w:pPr>
    </w:p>
    <w:p>
      <w:pPr>
        <w:pStyle w:val="Normal"/>
      </w:pPr>
    </w:p>
    <w:p>
      <w:pPr>
        <w:pStyle w:val="Normal"/>
      </w:pPr>
      <w:r>
        <w:rPr>
          <w:rFonts/>
          <w:b w:val="true"/>
        </w:rPr>
        <w:t xml:space="preserve">Conclusions</w:t>
      </w:r>
    </w:p>
    <w:p>
      <w:pPr>
        <w:pStyle w:val="Normal"/>
      </w:pPr>
    </w:p>
    <w:p>
      <w:pPr>
        <w:pStyle w:val="Normal"/>
      </w:pPr>
      <w:r>
        <w:t xml:space="preserve">Given the contiguous chain of causation from the day of the crash through Ms. and Mr. Pl1LastName and Mx. Third Name’s most recent medical records, the lack of any significant pre-crash history of persisting spine pain and need for treatment in the years prior to the crash, as well as the relative risk of significant and persisting spine injury from the subject frontal impact crash, I conclude that the most probable cause of the post-crash acute and chronic neck and low back injuries described in Ms. and Mr. Pl1LastName and Mx. Third Name’s medical records and summarized in this report, including their symptomatic cervical and lumbar disk derangements, is the subject January 1, 2020 frontal impact crash.</w:t>
      </w:r>
    </w:p>
    <w:p>
      <w:pPr>
        <w:pStyle w:val="Normal"/>
      </w:pPr>
      <w:r>
        <w:br w:type="page"/>
      </w:r>
    </w:p>
    <w:p>
      <w:pPr>
        <w:pStyle w:val="Normal"/>
      </w:pPr>
      <w:r>
        <w:t xml:space="preserve">I have examined neither Ms. nor Mr. Pl1LastName nor Mx. Third Name and I therefore have no opinions about their diagnoses, treatment, or prognoses outside of what is reflected in the medical record. This is not to say that I am not qualified, licensed, and extensively experienced in performing such evaluations, but that I have not done so in this case.</w:t>
      </w:r>
    </w:p>
    <w:p>
      <w:pPr>
        <w:pStyle w:val="Normal"/>
      </w:pPr>
    </w:p>
    <w:p>
      <w:pPr>
        <w:pStyle w:val="Normal"/>
      </w:pPr>
    </w:p>
    <w:p>
      <w:pPr>
        <w:pStyle w:val="Normal"/>
      </w:pPr>
      <w:r>
        <w:t xml:space="preserve">The preceding opinions were given as reasonable medical, and scientific probabilities. I reserve the right to amend any of my opinions should new information come to light.</w:t>
      </w:r>
    </w:p>
    <w:p>
      <w:pPr>
        <w:pStyle w:val="Normal"/>
      </w:pPr>
    </w:p>
    <w:p>
      <w:pPr>
        <w:pStyle w:val="Normal"/>
      </w:pPr>
      <w:r>
        <w:t xml:space="preserve">Very truly yours,</w:t>
      </w:r>
    </w:p>
    <w:p>
      <w:pPr>
        <w:pStyle w:val="Normal"/>
      </w:pPr>
    </w:p>
    <w:p>
      <w:pPr>
        <w:pStyle w:val="Normal"/>
      </w:pPr>
      <w:r>
        <w:rPr/>
        <w:drawing>
          <wp:inline distT="0" distB="0" distL="0" distR="0">
            <wp:extent cx="3657600" cy="1147218"/>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7"/>
                    <a:stretch>
                      <a:fillRect/>
                    </a:stretch>
                  </pic:blipFill>
                  <pic:spPr bwMode="auto">
                    <a:xfrm>
                      <a:off x="0" y="0"/>
                      <a:ext cx="50800" cy="15934"/>
                    </a:xfrm>
                    <a:prstGeom prst="rect">
                      <a:avLst/>
                    </a:prstGeom>
                    <a:noFill/>
                  </pic:spPr>
                </pic:pic>
              </a:graphicData>
            </a:graphic>
          </wp:inline>
        </w:drawing>
      </w:r>
    </w:p>
    <w:p>
      <w:pPr>
        <w:pStyle w:val="Normal"/>
      </w:pPr>
    </w:p>
    <w:p>
      <w:pPr>
        <w:pStyle w:val="Normal"/>
      </w:pPr>
      <w:r>
        <w:t xml:space="preserve">Michael D. Freeman, MedDr, PhD, MScFMS, MPH, FRCPath, FFFLM, FACE, DLM</w:t>
      </w:r>
    </w:p>
    <w:p>
      <w:pPr>
        <w:pStyle w:val="Normal"/>
      </w:pPr>
    </w:p>
    <w:p>
      <w:pPr>
        <w:pStyle w:val="Author"/>
      </w:pPr>
      <w:r>
        <w:rPr>
          <w:rFonts/>
          <w:b w:val="true"/>
        </w:rPr>
        <w:t xml:space="preserve">David Jenkins Memorial Professor and Chair in Forensic and Legal Medicine</w:t>
      </w:r>
      <w:r>
        <w:br w:type="textWrapping"/>
      </w:r>
      <w:r>
        <w:t xml:space="preserve">Faculty of Forensic and Legal Medicine, Royal College of Physicians (London, UK)</w:t>
      </w:r>
      <w:r>
        <w:br w:type="textWrapping"/>
      </w:r>
      <w:r>
        <w:br w:type="textWrapping"/>
      </w:r>
      <w:r>
        <w:rPr>
          <w:rFonts/>
          <w:b w:val="true"/>
        </w:rPr>
        <w:t xml:space="preserve">Associate Professor of Forensic Medicine,</w:t>
      </w:r>
      <w:r>
        <w:br w:type="textWrapping"/>
      </w:r>
      <w:r>
        <w:t xml:space="preserve">Care and Primary Healthcare Research Institute, Faculty of Health, Medicine, and Life Sciences, Maastricht University, Maastricht, Netherlands</w:t>
      </w:r>
      <w:r>
        <w:br w:type="textWrapping"/>
      </w:r>
      <w:r>
        <w:br w:type="textWrapping"/>
      </w:r>
      <w:r>
        <w:rPr>
          <w:rFonts/>
          <w:b w:val="true"/>
        </w:rPr>
        <w:t xml:space="preserve">Clinical Professor of Forensic Psychiatry</w:t>
      </w:r>
      <w:r>
        <w:br w:type="textWrapping"/>
      </w:r>
      <w:r>
        <w:t xml:space="preserve">Department of Psychiatry, School of Medicine, Oregon Health &amp; Science University</w:t>
      </w:r>
      <w:r>
        <w:br w:type="textWrapping"/>
      </w:r>
      <w:r>
        <w:br w:type="textWrapping"/>
      </w:r>
      <w:r>
        <w:t xml:space="preserve">Fellow, Royal College of Pathologists (UK)</w:t>
      </w:r>
      <w:r>
        <w:br w:type="textWrapping"/>
      </w:r>
      <w:r>
        <w:t xml:space="preserve">Fellow, Faculty of Forensic and Legal Medicine, Royal College of Physicians (London, UK)</w:t>
      </w:r>
      <w:r>
        <w:br w:type="textWrapping"/>
      </w:r>
      <w:r>
        <w:t xml:space="preserve">Fellow, American College of Epidemiology</w:t>
      </w:r>
      <w:r>
        <w:br w:type="textWrapping"/>
      </w:r>
      <w:r>
        <w:t xml:space="preserve">Member, American Society of Biomechanics</w:t>
      </w:r>
    </w:p>
    <w:p>
      <w:pPr>
        <w:pStyle w:val="Normal"/>
      </w:pPr>
      <w:r>
        <w:br w:type="page"/>
      </w:r>
    </w:p>
    <w:sectPr w:rsidR="008C0119" w:rsidRPr="003F38A9" w:rsidSect="00E91999">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1AB49" w14:textId="77777777" w:rsidR="00E91999" w:rsidRDefault="00E91999" w:rsidP="00D10DDB">
      <w:r>
        <w:separator/>
      </w:r>
    </w:p>
  </w:endnote>
  <w:endnote w:type="continuationSeparator" w:id="0">
    <w:p w14:paraId="045887A8" w14:textId="77777777" w:rsidR="00E91999" w:rsidRDefault="00E91999"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6FF" w:usb1="4000FCFF" w:usb2="00000009" w:usb3="00000000" w:csb0="0000019F" w:csb1="00000000"/>
  </w:font>
  <w:font w:name="Avenir Book">
    <w:altName w:val="Tw Cen MT"/>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99B05" w14:textId="77777777" w:rsidR="00E91999" w:rsidRDefault="00E91999" w:rsidP="00D10DDB">
      <w:r>
        <w:separator/>
      </w:r>
    </w:p>
  </w:footnote>
  <w:footnote w:type="continuationSeparator" w:id="0">
    <w:p w14:paraId="45BC4282" w14:textId="77777777" w:rsidR="00E91999" w:rsidRDefault="00E91999"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 w:id="4">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Etherton v. Owner Insurance Company. U.S. District Court of Appeals, 10th Circuit. Case No. 14-1164.</w:t>
      </w:r>
    </w:p>
  </w:footnote>
  <w:footnote w:id="5">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Nolet et al. Exposure to a Motor Vehicle Collision and the Risk of Future Neck Pain: A Systematic Review and Meta-Analysis. PM R. 2019 Apr 25. doi: 10.1002/pmrj.12173.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Third One Third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65E6F09"/>
    <w:multiLevelType w:val="hybridMultilevel"/>
    <w:tmpl w:val="05A49D64"/>
    <w:lvl w:ilvl="0" w:tplc="828CDB8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2"/>
  </w:num>
  <w:num w:numId="3" w16cid:durableId="1648700529">
    <w:abstractNumId w:val="1"/>
  </w:num>
</w:numbering>
</file>

<file path=word/settings.xml><?xml version="1.0" encoding="utf-8"?>
<w:settings xmlns:w="http://schemas.openxmlformats.org/wordprocessingml/2006/main">
  <w:zoom w:percent="15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Quote"/>
    <w:next w:val="BodyText"/>
    <w:qFormat/>
    <w:rsid w:val="00945BAA"/>
    <w:pPr>
      <w:spacing w:line="240" w:lineRule="auto"/>
      <w:ind w:left="0"/>
      <w:jc w:val="left"/>
    </w:pPr>
    <w:rPr>
      <w:i w:val="0"/>
      <w:iCs w:val="0"/>
      <w:sz w:val="20"/>
      <w:szCs w:val="20"/>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ListParagraph"/>
    <w:qFormat/>
    <w:rsid w:val="00B5624D"/>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146950"/>
    <w:rPr>
      <w:rFonts w:cs="Times New Roman (Body CS)"/>
      <w:vanish/>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rsid w:val="008B63DB"/>
    <w:pPr>
      <w:spacing w:before="60" w:after="120" w:line="240" w:lineRule="auto"/>
      <w:ind w:left="1559" w:right="1610"/>
    </w:pPr>
    <w:rPr>
      <w:i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8B63DB"/>
    <w:rPr>
      <w:rFonts w:ascii="Helvetica" w:hAnsi="Helvetica"/>
      <w:iCs/>
      <w:sz w:val="18"/>
      <w:szCs w:val="18"/>
    </w:rPr>
  </w:style>
  <w:style w:type="character" w:customStyle="1" w:styleId="VerbatimChar">
    <w:name w:val="Verbatim Char"/>
    <w:basedOn w:val="CaptionChar"/>
    <w:link w:val="SourceCode"/>
    <w:rPr>
      <w:rFonts w:ascii="Consolas" w:hAnsi="Consolas"/>
      <w:b w:val="0"/>
      <w:bCs w:val="0"/>
      <w:iCs/>
      <w:sz w:val="22"/>
      <w:szCs w:val="18"/>
    </w:rPr>
  </w:style>
  <w:style w:type="character" w:customStyle="1" w:styleId="SectionNumber">
    <w:name w:val="Section Number"/>
    <w:basedOn w:val="CaptionChar"/>
    <w:rPr>
      <w:rFonts w:ascii="Helvetica" w:hAnsi="Helvetica"/>
      <w:b w:val="0"/>
      <w:bCs w:val="0"/>
      <w:iCs/>
      <w:sz w:val="18"/>
      <w:szCs w:val="18"/>
    </w:rPr>
  </w:style>
  <w:style w:type="character" w:styleId="FootnoteReference">
    <w:name w:val="footnote reference"/>
    <w:basedOn w:val="CaptionChar"/>
    <w:rPr>
      <w:rFonts w:ascii="Helvetica" w:hAnsi="Helvetica"/>
      <w:b w:val="0"/>
      <w:bCs w:val="0"/>
      <w:iCs/>
      <w:sz w:val="18"/>
      <w:szCs w:val="18"/>
      <w:vertAlign w:val="superscript"/>
    </w:rPr>
  </w:style>
  <w:style w:type="character" w:styleId="Hyperlink">
    <w:name w:val="Hyperlink"/>
    <w:basedOn w:val="CaptionChar"/>
    <w:rPr>
      <w:rFonts w:ascii="Helvetica" w:hAnsi="Helvetica"/>
      <w:b w:val="0"/>
      <w:bCs w:val="0"/>
      <w:iCs/>
      <w:color w:val="4F81BD" w:themeColor="accent1"/>
      <w:sz w:val="18"/>
      <w:szCs w:val="18"/>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val="0"/>
      <w:iCs/>
      <w:color w:val="204A87"/>
      <w:sz w:val="22"/>
      <w:szCs w:val="18"/>
      <w:shd w:val="clear" w:color="auto" w:fill="F8F8F8"/>
    </w:rPr>
  </w:style>
  <w:style w:type="character" w:customStyle="1" w:styleId="DataTypeTok">
    <w:name w:val="DataTypeTok"/>
    <w:basedOn w:val="VerbatimChar"/>
    <w:rPr>
      <w:rFonts w:ascii="Consolas" w:hAnsi="Consolas"/>
      <w:b w:val="0"/>
      <w:bCs w:val="0"/>
      <w:iCs/>
      <w:color w:val="204A87"/>
      <w:sz w:val="22"/>
      <w:szCs w:val="18"/>
      <w:shd w:val="clear" w:color="auto" w:fill="F8F8F8"/>
    </w:rPr>
  </w:style>
  <w:style w:type="character" w:customStyle="1" w:styleId="DecValTok">
    <w:name w:val="DecValTok"/>
    <w:basedOn w:val="VerbatimChar"/>
    <w:rPr>
      <w:rFonts w:ascii="Consolas" w:hAnsi="Consolas"/>
      <w:b w:val="0"/>
      <w:bCs w:val="0"/>
      <w:iCs/>
      <w:color w:val="0000CF"/>
      <w:sz w:val="22"/>
      <w:szCs w:val="18"/>
      <w:shd w:val="clear" w:color="auto" w:fill="F8F8F8"/>
    </w:rPr>
  </w:style>
  <w:style w:type="character" w:customStyle="1" w:styleId="BaseNTok">
    <w:name w:val="BaseNTok"/>
    <w:basedOn w:val="VerbatimChar"/>
    <w:rPr>
      <w:rFonts w:ascii="Consolas" w:hAnsi="Consolas"/>
      <w:b w:val="0"/>
      <w:bCs w:val="0"/>
      <w:iCs/>
      <w:color w:val="0000CF"/>
      <w:sz w:val="22"/>
      <w:szCs w:val="18"/>
      <w:shd w:val="clear" w:color="auto" w:fill="F8F8F8"/>
    </w:rPr>
  </w:style>
  <w:style w:type="character" w:customStyle="1" w:styleId="FloatTok">
    <w:name w:val="FloatTok"/>
    <w:basedOn w:val="VerbatimChar"/>
    <w:rPr>
      <w:rFonts w:ascii="Consolas" w:hAnsi="Consolas"/>
      <w:b w:val="0"/>
      <w:bCs w:val="0"/>
      <w:iCs/>
      <w:color w:val="0000CF"/>
      <w:sz w:val="22"/>
      <w:szCs w:val="18"/>
      <w:shd w:val="clear" w:color="auto" w:fill="F8F8F8"/>
    </w:rPr>
  </w:style>
  <w:style w:type="character" w:customStyle="1" w:styleId="ConstantTok">
    <w:name w:val="ConstantTok"/>
    <w:basedOn w:val="VerbatimChar"/>
    <w:rPr>
      <w:rFonts w:ascii="Consolas" w:hAnsi="Consolas"/>
      <w:b w:val="0"/>
      <w:bCs w:val="0"/>
      <w:iCs/>
      <w:color w:val="8F5902"/>
      <w:sz w:val="22"/>
      <w:szCs w:val="18"/>
      <w:shd w:val="clear" w:color="auto" w:fill="F8F8F8"/>
    </w:rPr>
  </w:style>
  <w:style w:type="character" w:customStyle="1" w:styleId="CharTok">
    <w:name w:val="CharTok"/>
    <w:basedOn w:val="VerbatimChar"/>
    <w:rPr>
      <w:rFonts w:ascii="Consolas" w:hAnsi="Consolas"/>
      <w:b w:val="0"/>
      <w:bCs w:val="0"/>
      <w:iCs/>
      <w:color w:val="4E9A06"/>
      <w:sz w:val="22"/>
      <w:szCs w:val="18"/>
      <w:shd w:val="clear" w:color="auto" w:fill="F8F8F8"/>
    </w:rPr>
  </w:style>
  <w:style w:type="character" w:customStyle="1" w:styleId="SpecialCharTok">
    <w:name w:val="SpecialCharTok"/>
    <w:basedOn w:val="VerbatimChar"/>
    <w:rPr>
      <w:rFonts w:ascii="Consolas" w:hAnsi="Consolas"/>
      <w:b/>
      <w:bCs w:val="0"/>
      <w:iCs/>
      <w:color w:val="CE5C00"/>
      <w:sz w:val="22"/>
      <w:szCs w:val="18"/>
      <w:shd w:val="clear" w:color="auto" w:fill="F8F8F8"/>
    </w:rPr>
  </w:style>
  <w:style w:type="character" w:customStyle="1" w:styleId="StringTok">
    <w:name w:val="StringTok"/>
    <w:basedOn w:val="VerbatimChar"/>
    <w:rPr>
      <w:rFonts w:ascii="Consolas" w:hAnsi="Consolas"/>
      <w:b w:val="0"/>
      <w:bCs w:val="0"/>
      <w:iCs/>
      <w:color w:val="4E9A06"/>
      <w:sz w:val="22"/>
      <w:szCs w:val="18"/>
      <w:shd w:val="clear" w:color="auto" w:fill="F8F8F8"/>
    </w:rPr>
  </w:style>
  <w:style w:type="character" w:customStyle="1" w:styleId="VerbatimStringTok">
    <w:name w:val="VerbatimStringTok"/>
    <w:basedOn w:val="VerbatimChar"/>
    <w:rPr>
      <w:rFonts w:ascii="Consolas" w:hAnsi="Consolas"/>
      <w:b w:val="0"/>
      <w:bCs w:val="0"/>
      <w:iCs/>
      <w:color w:val="4E9A06"/>
      <w:sz w:val="22"/>
      <w:szCs w:val="18"/>
      <w:shd w:val="clear" w:color="auto" w:fill="F8F8F8"/>
    </w:rPr>
  </w:style>
  <w:style w:type="character" w:customStyle="1" w:styleId="SpecialStringTok">
    <w:name w:val="SpecialStringTok"/>
    <w:basedOn w:val="VerbatimChar"/>
    <w:rPr>
      <w:rFonts w:ascii="Consolas" w:hAnsi="Consolas"/>
      <w:b w:val="0"/>
      <w:bCs w:val="0"/>
      <w:iCs/>
      <w:color w:val="4E9A06"/>
      <w:sz w:val="22"/>
      <w:szCs w:val="18"/>
      <w:shd w:val="clear" w:color="auto" w:fill="F8F8F8"/>
    </w:rPr>
  </w:style>
  <w:style w:type="character" w:customStyle="1" w:styleId="ImportTok">
    <w:name w:val="ImportTok"/>
    <w:basedOn w:val="VerbatimChar"/>
    <w:rPr>
      <w:rFonts w:ascii="Consolas" w:hAnsi="Consolas"/>
      <w:b w:val="0"/>
      <w:bCs w:val="0"/>
      <w:iCs/>
      <w:sz w:val="22"/>
      <w:szCs w:val="18"/>
      <w:shd w:val="clear" w:color="auto" w:fill="F8F8F8"/>
    </w:rPr>
  </w:style>
  <w:style w:type="character" w:customStyle="1" w:styleId="CommentTok">
    <w:name w:val="CommentTok"/>
    <w:basedOn w:val="VerbatimChar"/>
    <w:rPr>
      <w:rFonts w:ascii="Consolas" w:hAnsi="Consolas"/>
      <w:b w:val="0"/>
      <w:bCs w:val="0"/>
      <w:i/>
      <w:iCs/>
      <w:color w:val="8F5902"/>
      <w:sz w:val="22"/>
      <w:szCs w:val="18"/>
      <w:shd w:val="clear" w:color="auto" w:fill="F8F8F8"/>
    </w:rPr>
  </w:style>
  <w:style w:type="character" w:customStyle="1" w:styleId="DocumentationTok">
    <w:name w:val="DocumentationTok"/>
    <w:basedOn w:val="VerbatimChar"/>
    <w:rPr>
      <w:rFonts w:ascii="Consolas" w:hAnsi="Consolas"/>
      <w:b/>
      <w:bCs w:val="0"/>
      <w:i/>
      <w:iCs/>
      <w:color w:val="8F5902"/>
      <w:sz w:val="22"/>
      <w:szCs w:val="18"/>
      <w:shd w:val="clear" w:color="auto" w:fill="F8F8F8"/>
    </w:rPr>
  </w:style>
  <w:style w:type="character" w:customStyle="1" w:styleId="AnnotationTok">
    <w:name w:val="AnnotationTok"/>
    <w:basedOn w:val="VerbatimChar"/>
    <w:rPr>
      <w:rFonts w:ascii="Consolas" w:hAnsi="Consolas"/>
      <w:b/>
      <w:bCs w:val="0"/>
      <w:i/>
      <w:iCs/>
      <w:color w:val="8F5902"/>
      <w:sz w:val="22"/>
      <w:szCs w:val="18"/>
      <w:shd w:val="clear" w:color="auto" w:fill="F8F8F8"/>
    </w:rPr>
  </w:style>
  <w:style w:type="character" w:customStyle="1" w:styleId="CommentVarTok">
    <w:name w:val="CommentVarTok"/>
    <w:basedOn w:val="VerbatimChar"/>
    <w:rPr>
      <w:rFonts w:ascii="Consolas" w:hAnsi="Consolas"/>
      <w:b/>
      <w:bCs w:val="0"/>
      <w:i/>
      <w:iCs/>
      <w:color w:val="8F5902"/>
      <w:sz w:val="22"/>
      <w:szCs w:val="18"/>
      <w:shd w:val="clear" w:color="auto" w:fill="F8F8F8"/>
    </w:rPr>
  </w:style>
  <w:style w:type="character" w:customStyle="1" w:styleId="OtherTok">
    <w:name w:val="OtherTok"/>
    <w:basedOn w:val="VerbatimChar"/>
    <w:rPr>
      <w:rFonts w:ascii="Consolas" w:hAnsi="Consolas"/>
      <w:b w:val="0"/>
      <w:bCs w:val="0"/>
      <w:iCs/>
      <w:color w:val="8F5902"/>
      <w:sz w:val="22"/>
      <w:szCs w:val="18"/>
      <w:shd w:val="clear" w:color="auto" w:fill="F8F8F8"/>
    </w:rPr>
  </w:style>
  <w:style w:type="character" w:customStyle="1" w:styleId="FunctionTok">
    <w:name w:val="FunctionTok"/>
    <w:basedOn w:val="VerbatimChar"/>
    <w:rPr>
      <w:rFonts w:ascii="Consolas" w:hAnsi="Consolas"/>
      <w:b/>
      <w:bCs w:val="0"/>
      <w:iCs/>
      <w:color w:val="204A87"/>
      <w:sz w:val="22"/>
      <w:szCs w:val="18"/>
      <w:shd w:val="clear" w:color="auto" w:fill="F8F8F8"/>
    </w:rPr>
  </w:style>
  <w:style w:type="character" w:customStyle="1" w:styleId="VariableTok">
    <w:name w:val="VariableTok"/>
    <w:basedOn w:val="VerbatimChar"/>
    <w:rPr>
      <w:rFonts w:ascii="Consolas" w:hAnsi="Consolas"/>
      <w:b w:val="0"/>
      <w:bCs w:val="0"/>
      <w:iCs/>
      <w:color w:val="000000"/>
      <w:sz w:val="22"/>
      <w:szCs w:val="18"/>
      <w:shd w:val="clear" w:color="auto" w:fill="F8F8F8"/>
    </w:rPr>
  </w:style>
  <w:style w:type="character" w:customStyle="1" w:styleId="ControlFlowTok">
    <w:name w:val="ControlFlowTok"/>
    <w:basedOn w:val="VerbatimChar"/>
    <w:rPr>
      <w:rFonts w:ascii="Consolas" w:hAnsi="Consolas"/>
      <w:b/>
      <w:bCs w:val="0"/>
      <w:iCs/>
      <w:color w:val="204A87"/>
      <w:sz w:val="22"/>
      <w:szCs w:val="18"/>
      <w:shd w:val="clear" w:color="auto" w:fill="F8F8F8"/>
    </w:rPr>
  </w:style>
  <w:style w:type="character" w:customStyle="1" w:styleId="OperatorTok">
    <w:name w:val="OperatorTok"/>
    <w:basedOn w:val="VerbatimChar"/>
    <w:rPr>
      <w:rFonts w:ascii="Consolas" w:hAnsi="Consolas"/>
      <w:b/>
      <w:bCs w:val="0"/>
      <w:iCs/>
      <w:color w:val="CE5C00"/>
      <w:sz w:val="22"/>
      <w:szCs w:val="18"/>
      <w:shd w:val="clear" w:color="auto" w:fill="F8F8F8"/>
    </w:rPr>
  </w:style>
  <w:style w:type="character" w:customStyle="1" w:styleId="BuiltInTok">
    <w:name w:val="BuiltInTok"/>
    <w:basedOn w:val="VerbatimChar"/>
    <w:rPr>
      <w:rFonts w:ascii="Consolas" w:hAnsi="Consolas"/>
      <w:b w:val="0"/>
      <w:bCs w:val="0"/>
      <w:iCs/>
      <w:sz w:val="22"/>
      <w:szCs w:val="18"/>
      <w:shd w:val="clear" w:color="auto" w:fill="F8F8F8"/>
    </w:rPr>
  </w:style>
  <w:style w:type="character" w:customStyle="1" w:styleId="ExtensionTok">
    <w:name w:val="ExtensionTok"/>
    <w:basedOn w:val="VerbatimChar"/>
    <w:rPr>
      <w:rFonts w:ascii="Consolas" w:hAnsi="Consolas"/>
      <w:b w:val="0"/>
      <w:bCs w:val="0"/>
      <w:iCs/>
      <w:sz w:val="22"/>
      <w:szCs w:val="18"/>
      <w:shd w:val="clear" w:color="auto" w:fill="F8F8F8"/>
    </w:rPr>
  </w:style>
  <w:style w:type="character" w:customStyle="1" w:styleId="PreprocessorTok">
    <w:name w:val="PreprocessorTok"/>
    <w:basedOn w:val="DefaultParagraphFont"/>
    <w:rsid w:val="00C86FD1"/>
    <w:rPr>
      <w:rFonts w:ascii="Helvetica" w:hAnsi="Helvetica"/>
      <w:b w:val="0"/>
      <w:bCs w:val="0"/>
      <w:i w:val="0"/>
      <w:iCs w:val="0"/>
      <w:vanish/>
      <w:color w:val="000000" w:themeColor="text1"/>
      <w:sz w:val="22"/>
      <w:szCs w:val="18"/>
      <w:shd w:val="clear" w:color="auto" w:fill="F8F8F8"/>
    </w:rPr>
  </w:style>
  <w:style w:type="character" w:customStyle="1" w:styleId="AttributeTok">
    <w:name w:val="AttributeTok"/>
    <w:basedOn w:val="VerbatimChar"/>
    <w:rPr>
      <w:rFonts w:ascii="Consolas" w:hAnsi="Consolas"/>
      <w:b w:val="0"/>
      <w:bCs w:val="0"/>
      <w:iCs/>
      <w:color w:val="204A87"/>
      <w:sz w:val="22"/>
      <w:szCs w:val="18"/>
      <w:shd w:val="clear" w:color="auto" w:fill="F8F8F8"/>
    </w:rPr>
  </w:style>
  <w:style w:type="character" w:customStyle="1" w:styleId="RegionMarkerTok">
    <w:name w:val="RegionMarkerTok"/>
    <w:basedOn w:val="VerbatimChar"/>
    <w:rPr>
      <w:rFonts w:ascii="Consolas" w:hAnsi="Consolas"/>
      <w:b w:val="0"/>
      <w:bCs w:val="0"/>
      <w:iCs/>
      <w:sz w:val="22"/>
      <w:szCs w:val="18"/>
      <w:shd w:val="clear" w:color="auto" w:fill="F8F8F8"/>
    </w:rPr>
  </w:style>
  <w:style w:type="character" w:customStyle="1" w:styleId="InformationTok">
    <w:name w:val="InformationTok"/>
    <w:basedOn w:val="VerbatimChar"/>
    <w:rPr>
      <w:rFonts w:ascii="Consolas" w:hAnsi="Consolas"/>
      <w:b/>
      <w:bCs w:val="0"/>
      <w:i/>
      <w:iCs/>
      <w:color w:val="8F5902"/>
      <w:sz w:val="22"/>
      <w:szCs w:val="18"/>
      <w:shd w:val="clear" w:color="auto" w:fill="F8F8F8"/>
    </w:rPr>
  </w:style>
  <w:style w:type="character" w:customStyle="1" w:styleId="WarningTok">
    <w:name w:val="WarningTok"/>
    <w:basedOn w:val="VerbatimChar"/>
    <w:rPr>
      <w:rFonts w:ascii="Consolas" w:hAnsi="Consolas"/>
      <w:b/>
      <w:bCs w:val="0"/>
      <w:i/>
      <w:iCs/>
      <w:color w:val="8F5902"/>
      <w:sz w:val="22"/>
      <w:szCs w:val="18"/>
      <w:shd w:val="clear" w:color="auto" w:fill="F8F8F8"/>
    </w:rPr>
  </w:style>
  <w:style w:type="character" w:customStyle="1" w:styleId="AlertTok">
    <w:name w:val="AlertTok"/>
    <w:basedOn w:val="VerbatimChar"/>
    <w:rPr>
      <w:rFonts w:ascii="Consolas" w:hAnsi="Consolas"/>
      <w:b w:val="0"/>
      <w:bCs w:val="0"/>
      <w:iCs/>
      <w:color w:val="EF2929"/>
      <w:sz w:val="22"/>
      <w:szCs w:val="18"/>
      <w:shd w:val="clear" w:color="auto" w:fill="F8F8F8"/>
    </w:rPr>
  </w:style>
  <w:style w:type="character" w:customStyle="1" w:styleId="ErrorTok">
    <w:name w:val="ErrorTok"/>
    <w:basedOn w:val="VerbatimChar"/>
    <w:rPr>
      <w:rFonts w:ascii="Consolas" w:hAnsi="Consolas"/>
      <w:b/>
      <w:bCs w:val="0"/>
      <w:iCs/>
      <w:color w:val="A40000"/>
      <w:sz w:val="22"/>
      <w:szCs w:val="18"/>
      <w:shd w:val="clear" w:color="auto" w:fill="F8F8F8"/>
    </w:rPr>
  </w:style>
  <w:style w:type="character" w:customStyle="1" w:styleId="NormalTok">
    <w:name w:val="NormalTok"/>
    <w:basedOn w:val="VerbatimChar"/>
    <w:rPr>
      <w:rFonts w:ascii="Consolas" w:hAnsi="Consolas"/>
      <w:b w:val="0"/>
      <w:bCs w:val="0"/>
      <w:iCs/>
      <w:sz w:val="22"/>
      <w:szCs w:val="18"/>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 w:type="paragraph" w:styleId="Quote">
    <w:name w:val="Quote"/>
    <w:basedOn w:val="Normal"/>
    <w:next w:val="Normal"/>
    <w:link w:val="QuoteChar"/>
    <w:rsid w:val="003F38A9"/>
    <w:pPr>
      <w:ind w:left="709" w:right="759"/>
    </w:pPr>
    <w:rPr>
      <w:i/>
      <w:iCs/>
      <w:lang w:bidi="en-US"/>
    </w:rPr>
  </w:style>
  <w:style w:type="character" w:customStyle="1" w:styleId="QuoteChar">
    <w:name w:val="Quote Char"/>
    <w:basedOn w:val="DefaultParagraphFont"/>
    <w:link w:val="Quote"/>
    <w:rsid w:val="003F38A9"/>
    <w:rPr>
      <w:rFonts w:ascii="Helvetica" w:hAnsi="Helvetica"/>
      <w:i/>
      <w:iCs/>
      <w:sz w:val="22"/>
      <w:szCs w:val="22"/>
      <w:lang w:bidi="en-US"/>
    </w:rPr>
  </w:style>
  <w:style w:type="paragraph" w:styleId="ListParagraph">
    <w:name w:val="List Paragraph"/>
    <w:basedOn w:val="Normal"/>
    <w:rsid w:val="009E6D16"/>
    <w:pPr>
      <w:numPr>
        <w:numId w:val="3"/>
      </w:numPr>
      <w:contextualSpacing/>
    </w:pPr>
  </w:style>
  <w:style w:type="character" w:styleId="LineNumber">
    <w:name w:val="line number"/>
    <w:rsid w:val="007239DF"/>
  </w:style>
  <w:style w:type="paragraph" w:customStyle="1" w:styleId="NumberList">
    <w:name w:val="NumberList"/>
    <w:basedOn w:val="Normal"/>
    <w:qFormat/>
    <w:rsid w:val="006E0127"/>
    <w:pPr>
      <w:ind w:left="426" w:hanging="426"/>
    </w:pPr>
  </w:style>
  <w:style w:type="character" w:customStyle="1" w:styleId="Invisible">
    <w:name w:val="Invisible"/>
    <w:basedOn w:val="DefaultParagraphFont"/>
    <w:uiPriority w:val="1"/>
    <w:qFormat/>
    <w:rsid w:val="009C767B"/>
    <w:rPr>
      <w:rFonts w:ascii="Helvetica" w:hAnsi="Helvetica"/>
      <w:vanish/>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aFChunk" Target=".//background_facts.docx"/>
<Relationship Id="rId15" Type="http://schemas.openxmlformats.org/officeDocument/2006/relationships/aFChunk" Target=".//med_hx.docx"/>
<Relationship Id="rId16" Type="http://schemas.openxmlformats.org/officeDocument/2006/relationships/aFChunk" Target=".//reconstruction.docx"/>
<Relationship Id="rId17" Type="http://schemas.openxmlformats.org/officeDocument/2006/relationships/image" Target="media/821d167f520f5ea63711bcf0690999a251515727.png"/>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39</cp:revision>
  <dcterms:created xsi:type="dcterms:W3CDTF">2024-02-16T14:30:00Z</dcterms:created>
  <dcterms:modified xsi:type="dcterms:W3CDTF">2024-04-26T16:52:37Z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