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1.docx" ContentType="application/vnd.openxmlformats-officedocument.wordprocessingml.document.main+xml"/>
  <Override PartName="/word/med_hx2.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27,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driver-side impact collision and Ms. and Mr. Pl1LastName and Mx. ThirdName’s subsequently diagnosed shoulder injuries and need for treatment.</w:t>
      </w:r>
    </w:p>
    <w:p>
      <w:pPr>
        <w:pStyle w:val="Normal"/>
      </w:pPr>
    </w:p>
    <w:p>
      <w:pPr>
        <w:pStyle w:val="Normal"/>
      </w:pPr>
      <w:r>
        <w:t xml:space="preserve">As I have already outlined my qualifications in my January 5, 2023, report in this matter, I will not repeat them here, but rather refer the reader to my current CV, which is attached.</w:t>
      </w:r>
    </w:p>
    <w:p>
      <w:pPr>
        <w:pStyle w:val="Normal"/>
      </w:pPr>
      <w:r>
        <w:br w:type="page"/>
      </w:r>
    </w:p>
    <w:altChunk r:id="rId14"/>
    <w:p>
      <w:pPr>
        <w:pStyle w:val="Normal"/>
      </w:pPr>
    </w:p>
    <w:p>
      <w:pPr>
        <w:pStyle w:val="Normal"/>
      </w:pPr>
      <w:r>
        <w:rPr>
          <w:rFonts/>
          <w:i w:val="true"/>
          <w:u w:val="single"/>
        </w:rPr>
        <w:t xml:space="preserve">Post-crash history, Pl1FirstName Pl1LastName (driver)</w:t>
      </w:r>
    </w:p>
    <w:altChunk r:id="rId15"/>
    <w:p>
      <w:pPr>
        <w:pStyle w:val="Normal"/>
      </w:pPr>
    </w:p>
    <w:p>
      <w:pPr>
        <w:pStyle w:val="Normal"/>
      </w:pPr>
      <w:r>
        <w:rPr>
          <w:rFonts/>
          <w:i w:val="true"/>
          <w:u w:val="single"/>
        </w:rPr>
        <w:t xml:space="preserve">Post-crash history, Pl2FirstName Pl1LastName (front passenger)</w:t>
      </w:r>
    </w:p>
    <w:altChunk r:id="rId16"/>
    <w:p>
      <w:pPr>
        <w:pStyle w:val="Normal"/>
      </w:pPr>
    </w:p>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7"/>
    <w:p>
      <w:pPr>
        <w:pStyle w:val="Normal"/>
      </w:pPr>
    </w:p>
    <w:p>
      <w:pPr>
        <w:pStyle w:val="Normal"/>
      </w:pPr>
      <w:r>
        <w:rPr>
          <w:rFonts/>
          <w:i w:val="true"/>
        </w:rPr>
        <w:t xml:space="preserve">Injury biomechanics</w:t>
      </w:r>
    </w:p>
    <w:p>
      <w:pPr>
        <w:pStyle w:val="Normal"/>
      </w:pPr>
      <w:r>
        <w:t xml:space="preserve">The initial impact would have resulted in Ms. and Mr. Pl1LastName and Mx. ThirdName’s body initially being thrown forward and to the left at around a 10:30 vector at around 10 mph and into their restraining shoulder belts and toward the driver’s side door as well as the steering wheel. They would have sustained substantial complex loads on theirspines in the collision, loads that include compression, rotation, forward and lateral flexion, and shear all occurring at the same time and to varying degrees in less time than it takes to blink an eye (around 250 msecs). Ms. and Mr. Pl1LastName and Mx. ThirdName’s left shoulder would have sustained a sudden transient load potentially exceeding 500 lbs. as it interacted with the shoulder belt, or possibly the driver’s side door.</w:t>
      </w:r>
    </w:p>
    <w:p>
      <w:pPr>
        <w:pStyle w:val="Normal"/>
      </w:pPr>
    </w:p>
    <w:p>
      <w:pPr>
        <w:pStyle w:val="Normal"/>
      </w:pPr>
      <w:r>
        <w:rPr>
          <w:rFonts/>
          <w:i w:val="true"/>
        </w:rPr>
        <w:t xml:space="preserve">Discussion</w:t>
      </w:r>
    </w:p>
    <w:p>
      <w:pPr>
        <w:pStyle w:val="Normal"/>
      </w:pPr>
      <w:r>
        <w:t xml:space="preserve">The types of spine and extremity injuries that Ms. and Mr. Pl1LastName and Mx. ThirdName were diagnosed with are highly consistent with the injury mechanism of the crash. Traumatic loading of the spine that results in axial (up and down) compression, particularly in combination with the other load types occurring with the subject collision, has the potential to damage the peripheral disk annulus, which surrounds and holds in the disk nucleus. Women in their early 3rd decade, like Ms. Pl1LastName (who was 20 at the time of the crash) typically have asymptomatic age-related degenerative changes of the disks of the spine, a fact that makes the post-crash findings in Ms. and Mr. Pl1LastName and Mx. ThirdName’s imaging more likely due to a combination of the trauma of the crash, and some degree of pre-existing degeneration. The same principles apply to Ms. and Mr. Pl1LastName and Mx. ThirdName’s left shoulder injury; 20-year-old women typically have some degenerative changes in the joints and rotator cuff of the shoulder, but the frank tear and other injuries observed in Ms. and Mr. Pl1LastName and Mx. ThirdName’s MRI and during the arthroscopic procedure performed on their left shoulder are likely a result of the acute trauma of the subject collision, rather than purely a pre-existing asymptomatic condition that was converted to symptomatic by the crash.</w:t>
      </w:r>
    </w:p>
    <w:p>
      <w:pPr>
        <w:pStyle w:val="Normal"/>
      </w:pPr>
      <w:r>
        <w:t xml:space="preserve">It is well established in science and medicine that an excessive level of force is not required to cause symptomatic injury to a degenerated disk, and that in most cases, the diagnostic imaging of the disk will not reveal whether related symptoms are of a traumatic origin or not, in the absence of fracture.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5"/>
      </w:r>
      <w:r>
        <w:rPr>
          <w:rFonts/>
          <w:vertAlign w:val="superscript"/>
        </w:rPr>
        <w:t xml:space="preserve">-</w:t>
      </w:r>
      <w:r>
        <w:rPr>
          <w:rFonts/>
          <w:vertAlign w:val="superscript"/>
        </w:rPr>
        <w:footnoteReference w:id="6"/>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r>
        <w:rPr>
          <w:rFonts/>
          <w:vertAlign w:val="superscript"/>
        </w:rPr>
        <w:footnoteReference w:id="11"/>
      </w:r>
      <w:r>
        <w:t xml:space="preserve"> It is accurate to state that there is no established or generally accepted lower force threshold at which it can be said that an acute intervertebral disk injury in any part of the spine cannot occur. The same principle applies to traumatic derangement of the joints and rotator cuff of the shoulder.</w:t>
      </w:r>
    </w:p>
    <w:p>
      <w:pPr>
        <w:pStyle w:val="Normal"/>
      </w:pPr>
      <w:r>
        <w:t xml:space="preserve">Based on the preceding discussion there was ample and biomechanically appropriate force exerted on Ms. and Mr. Pl1LastName and Mx. ThirdName’s bodies in the subject collision to have caused their medically documented injuries, and associated need for evaluation and treatment, including their spinal pain management procedures, etc.</w:t>
      </w:r>
    </w:p>
    <w:p>
      <w:pPr>
        <w:pStyle w:val="Normal"/>
      </w:pPr>
    </w:p>
    <w:p>
      <w:pPr>
        <w:pStyle w:val="Normal"/>
      </w:pPr>
      <w:r>
        <w:t xml:space="preserve">Shoulder three steps placeholder</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driver-side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8"/>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May 27, 2024</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1.docx"/>
<Relationship Id="rId16" Type="http://schemas.openxmlformats.org/officeDocument/2006/relationships/aFChunk" Target=".//med_hx2.docx"/>
<Relationship Id="rId17" Type="http://schemas.openxmlformats.org/officeDocument/2006/relationships/aFChunk" Target=".//reconstruction.docx"/>
<Relationship Id="rId18"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2024-05-27T13:52:33Z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