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A9086" w14:textId="4EF5E1D5" w:rsidR="00677B8C" w:rsidRDefault="00677B8C" w:rsidP="00677B8C">
      <w:pPr>
        <w:spacing w:line="320" w:lineRule="atLeast"/>
        <w:rPr>
          <w:rFonts w:ascii="Helvetica" w:hAnsi="Helvetica"/>
          <w:iCs/>
          <w:sz w:val="22"/>
          <w:szCs w:val="22"/>
        </w:rPr>
      </w:pPr>
      <w:r w:rsidRPr="004619E4">
        <w:rPr>
          <w:rFonts w:ascii="Helvetica" w:hAnsi="Helvetica"/>
          <w:b/>
          <w:bCs/>
          <w:iCs/>
          <w:sz w:val="22"/>
          <w:szCs w:val="22"/>
          <w:u w:val="single"/>
        </w:rPr>
        <w:t xml:space="preserve">Opinions of defendant’s expert, </w:t>
      </w:r>
      <w:r w:rsidR="00F47F9C">
        <w:rPr>
          <w:rFonts w:ascii="Helvetica" w:hAnsi="Helvetica"/>
          <w:b/>
          <w:bCs/>
          <w:iCs/>
          <w:sz w:val="22"/>
          <w:szCs w:val="22"/>
          <w:u w:val="single"/>
        </w:rPr>
        <w:t xml:space="preserve">Dr. </w:t>
      </w:r>
      <w:r>
        <w:rPr>
          <w:rFonts w:ascii="Helvetica" w:hAnsi="Helvetica"/>
          <w:b/>
          <w:bCs/>
          <w:iCs/>
          <w:sz w:val="22"/>
          <w:szCs w:val="22"/>
          <w:u w:val="single"/>
        </w:rPr>
        <w:t>Potma</w:t>
      </w:r>
    </w:p>
    <w:p w14:paraId="64E8EF56" w14:textId="0C174016" w:rsidR="00677B8C" w:rsidRDefault="00F47F9C" w:rsidP="00677B8C">
      <w:pPr>
        <w:spacing w:line="320" w:lineRule="atLeast"/>
        <w:rPr>
          <w:rFonts w:ascii="Helvetica" w:hAnsi="Helvetica"/>
          <w:iCs/>
          <w:sz w:val="22"/>
          <w:szCs w:val="22"/>
        </w:rPr>
      </w:pPr>
      <w:r>
        <w:rPr>
          <w:rFonts w:ascii="Helvetica" w:hAnsi="Helvetica"/>
          <w:iCs/>
          <w:sz w:val="22"/>
          <w:szCs w:val="22"/>
        </w:rPr>
        <w:t>An undated biomech summary</w:t>
      </w:r>
      <w:r w:rsidR="007E1C43">
        <w:rPr>
          <w:rFonts w:ascii="Helvetica" w:hAnsi="Helvetica"/>
          <w:iCs/>
          <w:sz w:val="22"/>
          <w:szCs w:val="22"/>
        </w:rPr>
        <w:t xml:space="preserve"> without author identification</w:t>
      </w:r>
      <w:r>
        <w:rPr>
          <w:rFonts w:ascii="Helvetica" w:hAnsi="Helvetica"/>
          <w:iCs/>
          <w:sz w:val="22"/>
          <w:szCs w:val="22"/>
        </w:rPr>
        <w:t xml:space="preserve">, </w:t>
      </w:r>
      <w:r w:rsidR="00E53E8C">
        <w:rPr>
          <w:rFonts w:ascii="Helvetica" w:hAnsi="Helvetica"/>
          <w:iCs/>
          <w:sz w:val="22"/>
          <w:szCs w:val="22"/>
        </w:rPr>
        <w:t>found</w:t>
      </w:r>
      <w:r>
        <w:rPr>
          <w:rFonts w:ascii="Helvetica" w:hAnsi="Helvetica"/>
          <w:iCs/>
          <w:sz w:val="22"/>
          <w:szCs w:val="22"/>
        </w:rPr>
        <w:t xml:space="preserve"> in the Potma Docs</w:t>
      </w:r>
      <w:r w:rsidR="007E1C43">
        <w:rPr>
          <w:rFonts w:ascii="Helvetica" w:hAnsi="Helvetica"/>
          <w:iCs/>
          <w:sz w:val="22"/>
          <w:szCs w:val="22"/>
        </w:rPr>
        <w:t xml:space="preserve"> folder</w:t>
      </w:r>
      <w:r>
        <w:rPr>
          <w:rFonts w:ascii="Helvetica" w:hAnsi="Helvetica"/>
          <w:iCs/>
          <w:sz w:val="22"/>
          <w:szCs w:val="22"/>
        </w:rPr>
        <w:t xml:space="preserve">, was provided for review. In the summary it </w:t>
      </w:r>
      <w:r w:rsidR="00E53E8C">
        <w:rPr>
          <w:rFonts w:ascii="Helvetica" w:hAnsi="Helvetica"/>
          <w:iCs/>
          <w:sz w:val="22"/>
          <w:szCs w:val="22"/>
        </w:rPr>
        <w:t>said</w:t>
      </w:r>
      <w:r>
        <w:rPr>
          <w:rFonts w:ascii="Helvetica" w:hAnsi="Helvetica"/>
          <w:iCs/>
          <w:sz w:val="22"/>
          <w:szCs w:val="22"/>
        </w:rPr>
        <w:t xml:space="preserve"> that Mr. Bradshaw would opine on delta V and the EDR download of the Chevrolet (no information has been provided from him regarding this information). </w:t>
      </w:r>
      <w:r w:rsidR="001A1126">
        <w:rPr>
          <w:rFonts w:ascii="Helvetica" w:hAnsi="Helvetica"/>
          <w:iCs/>
          <w:sz w:val="22"/>
          <w:szCs w:val="22"/>
        </w:rPr>
        <w:t>Dr. Potma opined that Mr. Suber was not injured in the subject crash beyond that of temporary muscle strains.</w:t>
      </w:r>
      <w:r w:rsidR="00E72956">
        <w:rPr>
          <w:rFonts w:ascii="Helvetica" w:hAnsi="Helvetica"/>
          <w:iCs/>
          <w:sz w:val="22"/>
          <w:szCs w:val="22"/>
        </w:rPr>
        <w:t xml:space="preserve"> </w:t>
      </w:r>
      <w:r w:rsidR="00E72956" w:rsidRPr="00FE024A">
        <w:rPr>
          <w:rFonts w:ascii="Helvetica" w:hAnsi="Helvetica"/>
          <w:bCs/>
          <w:iCs/>
          <w:sz w:val="22"/>
          <w:szCs w:val="22"/>
        </w:rPr>
        <w:t>The forces experienced in the subject crash by</w:t>
      </w:r>
      <w:r w:rsidR="00E72956">
        <w:rPr>
          <w:rFonts w:ascii="Helvetica" w:hAnsi="Helvetica"/>
          <w:bCs/>
          <w:iCs/>
          <w:sz w:val="22"/>
          <w:szCs w:val="22"/>
        </w:rPr>
        <w:t xml:space="preserve"> him </w:t>
      </w:r>
      <w:r w:rsidR="00E72956" w:rsidRPr="00FE024A">
        <w:rPr>
          <w:rFonts w:ascii="Helvetica" w:hAnsi="Helvetica"/>
          <w:bCs/>
          <w:iCs/>
          <w:sz w:val="22"/>
          <w:szCs w:val="22"/>
        </w:rPr>
        <w:t>are comparable to benign, non-injurious everyday activities, and that these forces were below the tolerance for injury. The basis for Dr.</w:t>
      </w:r>
      <w:r w:rsidR="00E72956">
        <w:rPr>
          <w:rFonts w:ascii="Helvetica" w:hAnsi="Helvetica"/>
          <w:bCs/>
          <w:iCs/>
          <w:sz w:val="22"/>
          <w:szCs w:val="22"/>
        </w:rPr>
        <w:t xml:space="preserve"> Potma’s </w:t>
      </w:r>
      <w:r w:rsidR="00E72956" w:rsidRPr="00FE024A">
        <w:rPr>
          <w:rFonts w:ascii="Helvetica" w:hAnsi="Helvetica"/>
          <w:bCs/>
          <w:iCs/>
          <w:sz w:val="22"/>
          <w:szCs w:val="22"/>
        </w:rPr>
        <w:t>opinions was primarily h</w:t>
      </w:r>
      <w:r w:rsidR="00E72956">
        <w:rPr>
          <w:rFonts w:ascii="Helvetica" w:hAnsi="Helvetica"/>
          <w:bCs/>
          <w:iCs/>
          <w:sz w:val="22"/>
          <w:szCs w:val="22"/>
        </w:rPr>
        <w:t>er</w:t>
      </w:r>
      <w:r w:rsidR="00E72956" w:rsidRPr="00FE024A">
        <w:rPr>
          <w:rFonts w:ascii="Helvetica" w:hAnsi="Helvetica"/>
          <w:bCs/>
          <w:iCs/>
          <w:sz w:val="22"/>
          <w:szCs w:val="22"/>
        </w:rPr>
        <w:t xml:space="preserve"> comparison of the forces of the crash to those of everyday activities, such as </w:t>
      </w:r>
      <w:r w:rsidR="00E72956">
        <w:rPr>
          <w:rFonts w:ascii="Helvetica" w:hAnsi="Helvetica"/>
          <w:bCs/>
          <w:iCs/>
          <w:sz w:val="22"/>
          <w:szCs w:val="22"/>
        </w:rPr>
        <w:t>walking, coughing or sitting relaxed</w:t>
      </w:r>
      <w:r w:rsidR="007E1C43">
        <w:rPr>
          <w:rFonts w:ascii="Helvetica" w:hAnsi="Helvetica"/>
          <w:bCs/>
          <w:iCs/>
          <w:sz w:val="22"/>
          <w:szCs w:val="22"/>
        </w:rPr>
        <w:t xml:space="preserve"> (based on the tables/graphs in the summary)</w:t>
      </w:r>
      <w:r w:rsidR="00E72956">
        <w:rPr>
          <w:rFonts w:ascii="Helvetica" w:hAnsi="Helvetica"/>
          <w:bCs/>
          <w:iCs/>
          <w:sz w:val="22"/>
          <w:szCs w:val="22"/>
        </w:rPr>
        <w:t xml:space="preserve">, and citation to studies involving </w:t>
      </w:r>
      <w:r w:rsidR="001A2285">
        <w:rPr>
          <w:rFonts w:ascii="Helvetica" w:hAnsi="Helvetica"/>
          <w:bCs/>
          <w:iCs/>
          <w:sz w:val="22"/>
          <w:szCs w:val="22"/>
        </w:rPr>
        <w:t xml:space="preserve">real-world crash data, </w:t>
      </w:r>
      <w:r w:rsidR="00E72956">
        <w:rPr>
          <w:rFonts w:ascii="Helvetica" w:hAnsi="Helvetica"/>
          <w:bCs/>
          <w:iCs/>
          <w:sz w:val="22"/>
          <w:szCs w:val="22"/>
        </w:rPr>
        <w:t xml:space="preserve">live human volunteers, anthropomorphic test devices, </w:t>
      </w:r>
      <w:r w:rsidR="00E72956" w:rsidRPr="00FE024A">
        <w:rPr>
          <w:rFonts w:ascii="Helvetica" w:hAnsi="Helvetica"/>
          <w:bCs/>
          <w:iCs/>
          <w:sz w:val="22"/>
          <w:szCs w:val="22"/>
        </w:rPr>
        <w:t xml:space="preserve">cherry picked from the literature to obscure the well-established actual risk of injury from the subject crash. Dr. </w:t>
      </w:r>
      <w:r w:rsidR="004900BA">
        <w:rPr>
          <w:rFonts w:ascii="Helvetica" w:hAnsi="Helvetica"/>
          <w:bCs/>
          <w:iCs/>
          <w:sz w:val="22"/>
          <w:szCs w:val="22"/>
        </w:rPr>
        <w:t>Potma’</w:t>
      </w:r>
      <w:r w:rsidR="00E72956" w:rsidRPr="00FE024A">
        <w:rPr>
          <w:rFonts w:ascii="Helvetica" w:hAnsi="Helvetica"/>
          <w:bCs/>
          <w:iCs/>
          <w:sz w:val="22"/>
          <w:szCs w:val="22"/>
        </w:rPr>
        <w:t>s methods are aptly described as “junk science,” and h</w:t>
      </w:r>
      <w:r w:rsidR="004900BA">
        <w:rPr>
          <w:rFonts w:ascii="Helvetica" w:hAnsi="Helvetica"/>
          <w:bCs/>
          <w:iCs/>
          <w:sz w:val="22"/>
          <w:szCs w:val="22"/>
        </w:rPr>
        <w:t>er</w:t>
      </w:r>
      <w:r w:rsidR="00E72956" w:rsidRPr="00FE024A">
        <w:rPr>
          <w:rFonts w:ascii="Helvetica" w:hAnsi="Helvetica"/>
          <w:bCs/>
          <w:iCs/>
          <w:sz w:val="22"/>
          <w:szCs w:val="22"/>
        </w:rPr>
        <w:t xml:space="preserve"> conclusion from the application of such methods utterly meaningless, irrelevant to any facts related to M</w:t>
      </w:r>
      <w:r w:rsidR="004900BA">
        <w:rPr>
          <w:rFonts w:ascii="Helvetica" w:hAnsi="Helvetica"/>
          <w:bCs/>
          <w:iCs/>
          <w:sz w:val="22"/>
          <w:szCs w:val="22"/>
        </w:rPr>
        <w:t>r</w:t>
      </w:r>
      <w:r w:rsidR="00E72956" w:rsidRPr="00FE024A">
        <w:rPr>
          <w:rFonts w:ascii="Helvetica" w:hAnsi="Helvetica"/>
          <w:bCs/>
          <w:iCs/>
          <w:sz w:val="22"/>
          <w:szCs w:val="22"/>
        </w:rPr>
        <w:t xml:space="preserve">. </w:t>
      </w:r>
      <w:r w:rsidR="004900BA">
        <w:rPr>
          <w:rFonts w:ascii="Helvetica" w:hAnsi="Helvetica"/>
          <w:bCs/>
          <w:iCs/>
          <w:sz w:val="22"/>
          <w:szCs w:val="22"/>
        </w:rPr>
        <w:t>Suber</w:t>
      </w:r>
      <w:r w:rsidR="00E72956">
        <w:rPr>
          <w:rFonts w:ascii="Helvetica" w:hAnsi="Helvetica"/>
          <w:bCs/>
          <w:iCs/>
          <w:sz w:val="22"/>
          <w:szCs w:val="22"/>
        </w:rPr>
        <w:t>’</w:t>
      </w:r>
      <w:r w:rsidR="00E72956" w:rsidRPr="00FE024A">
        <w:rPr>
          <w:rFonts w:ascii="Helvetica" w:hAnsi="Helvetica"/>
          <w:bCs/>
          <w:iCs/>
          <w:sz w:val="22"/>
          <w:szCs w:val="22"/>
        </w:rPr>
        <w:t>s health, and misleading.</w:t>
      </w:r>
    </w:p>
    <w:p w14:paraId="07107566" w14:textId="77777777" w:rsidR="00F47F9C" w:rsidRDefault="00F47F9C" w:rsidP="00677B8C">
      <w:pPr>
        <w:spacing w:line="320" w:lineRule="atLeast"/>
        <w:rPr>
          <w:rFonts w:ascii="Helvetica" w:hAnsi="Helvetica"/>
          <w:iCs/>
          <w:sz w:val="22"/>
          <w:szCs w:val="22"/>
        </w:rPr>
      </w:pPr>
    </w:p>
    <w:p w14:paraId="714F6C12" w14:textId="729D8740" w:rsidR="00F47F9C" w:rsidRDefault="00F47F9C" w:rsidP="00F47F9C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iCs/>
          <w:sz w:val="22"/>
          <w:szCs w:val="22"/>
        </w:rPr>
        <w:t xml:space="preserve">Dr. Potma’s </w:t>
      </w:r>
      <w:r w:rsidRPr="00FE024A">
        <w:rPr>
          <w:rFonts w:ascii="Helvetica" w:hAnsi="Helvetica"/>
          <w:bCs/>
          <w:iCs/>
          <w:sz w:val="22"/>
          <w:szCs w:val="22"/>
        </w:rPr>
        <w:t>substantive conclusions can be summarized as follows:</w:t>
      </w:r>
    </w:p>
    <w:p w14:paraId="623AEEC8" w14:textId="77777777" w:rsidR="00FA5A2F" w:rsidRDefault="00FA5A2F" w:rsidP="00F47F9C">
      <w:pPr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047D42AE" w14:textId="359BBE1A" w:rsidR="00F47F9C" w:rsidRDefault="00F47F9C" w:rsidP="00F47F9C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The Chevrolet experienced a delta V of 4 mph or less (</w:t>
      </w:r>
      <w:r w:rsidR="001B5293">
        <w:rPr>
          <w:rFonts w:ascii="Helvetica" w:hAnsi="Helvetica"/>
          <w:bCs/>
          <w:iCs/>
          <w:sz w:val="22"/>
          <w:szCs w:val="22"/>
        </w:rPr>
        <w:t>based on a reconstruction</w:t>
      </w:r>
      <w:r>
        <w:rPr>
          <w:rFonts w:ascii="Helvetica" w:hAnsi="Helvetica"/>
          <w:bCs/>
          <w:iCs/>
          <w:sz w:val="22"/>
          <w:szCs w:val="22"/>
        </w:rPr>
        <w:t xml:space="preserve"> </w:t>
      </w:r>
      <w:r w:rsidR="001B5293">
        <w:rPr>
          <w:rFonts w:ascii="Helvetica" w:hAnsi="Helvetica"/>
          <w:bCs/>
          <w:iCs/>
          <w:sz w:val="22"/>
          <w:szCs w:val="22"/>
        </w:rPr>
        <w:t>by Jeff</w:t>
      </w:r>
      <w:r>
        <w:rPr>
          <w:rFonts w:ascii="Helvetica" w:hAnsi="Helvetica"/>
          <w:bCs/>
          <w:iCs/>
          <w:sz w:val="22"/>
          <w:szCs w:val="22"/>
        </w:rPr>
        <w:t xml:space="preserve"> Bradshaw</w:t>
      </w:r>
      <w:r w:rsidR="001B5293">
        <w:rPr>
          <w:rFonts w:ascii="Helvetica" w:hAnsi="Helvetica"/>
          <w:bCs/>
          <w:iCs/>
          <w:sz w:val="22"/>
          <w:szCs w:val="22"/>
        </w:rPr>
        <w:t>, but his method is not known and none of his work has been provided</w:t>
      </w:r>
      <w:r>
        <w:rPr>
          <w:rFonts w:ascii="Helvetica" w:hAnsi="Helvetica"/>
          <w:bCs/>
          <w:iCs/>
          <w:sz w:val="22"/>
          <w:szCs w:val="22"/>
        </w:rPr>
        <w:t>) and the PDOF was forward and rightward.</w:t>
      </w:r>
    </w:p>
    <w:p w14:paraId="0BB4E0B4" w14:textId="77777777" w:rsidR="00FA5A2F" w:rsidRDefault="00FA5A2F" w:rsidP="00FA5A2F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329AEBDD" w14:textId="1DF1F40F" w:rsidR="00F47F9C" w:rsidRDefault="00F47F9C" w:rsidP="00F47F9C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Mr. Suber would have moved leftward initially at a speed near the delta V of 4 mph which was equivalent to the walking speed of a typical adult. Contact between his head, left shoulder, and left arm with the interior of the vehicle would be unlikely, but cannot be excluded.</w:t>
      </w:r>
    </w:p>
    <w:p w14:paraId="1C88F5D9" w14:textId="77777777" w:rsidR="00FA5A2F" w:rsidRPr="00FA5A2F" w:rsidRDefault="00FA5A2F" w:rsidP="00FA5A2F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1A80A7BF" w14:textId="1585E697" w:rsidR="00F47F9C" w:rsidRDefault="00F47F9C" w:rsidP="00F47F9C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Mr. Suber would have then experienced a slower subsequent motion to the right</w:t>
      </w:r>
      <w:r w:rsidR="00F1653C">
        <w:rPr>
          <w:rFonts w:ascii="Helvetica" w:hAnsi="Helvetica"/>
          <w:bCs/>
          <w:iCs/>
          <w:sz w:val="22"/>
          <w:szCs w:val="22"/>
        </w:rPr>
        <w:t xml:space="preserve"> before rocking back into a neutral seated position.</w:t>
      </w:r>
    </w:p>
    <w:p w14:paraId="525E0DAA" w14:textId="77777777" w:rsidR="00FA5A2F" w:rsidRPr="00FA5A2F" w:rsidRDefault="00FA5A2F" w:rsidP="00FA5A2F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58B8D65A" w14:textId="58015C11" w:rsidR="00D80194" w:rsidRDefault="00D80194" w:rsidP="00F47F9C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The mechanism of injury for temporary muscle strains of the cervical and lumber spine would be consistent with his motions.</w:t>
      </w:r>
    </w:p>
    <w:p w14:paraId="3B071D9F" w14:textId="77777777" w:rsidR="00FA5A2F" w:rsidRPr="00FA5A2F" w:rsidRDefault="00FA5A2F" w:rsidP="00FA5A2F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7A810A2F" w14:textId="362C5707" w:rsidR="00D80194" w:rsidRDefault="00D92E94" w:rsidP="00F47F9C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Mr. Suber’s head accelerations would be well below th</w:t>
      </w:r>
      <w:r w:rsidR="00961792">
        <w:rPr>
          <w:rFonts w:ascii="Helvetica" w:hAnsi="Helvetica"/>
          <w:bCs/>
          <w:iCs/>
          <w:sz w:val="22"/>
          <w:szCs w:val="22"/>
        </w:rPr>
        <w:t>ose</w:t>
      </w:r>
      <w:r>
        <w:rPr>
          <w:rFonts w:ascii="Helvetica" w:hAnsi="Helvetica"/>
          <w:bCs/>
          <w:iCs/>
          <w:sz w:val="22"/>
          <w:szCs w:val="22"/>
        </w:rPr>
        <w:t xml:space="preserve"> associated with concussion or mtbi.</w:t>
      </w:r>
    </w:p>
    <w:p w14:paraId="5329A39C" w14:textId="77777777" w:rsidR="00FA5A2F" w:rsidRPr="00FA5A2F" w:rsidRDefault="00FA5A2F" w:rsidP="00FA5A2F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509E4644" w14:textId="75E4400C" w:rsidR="00D92E94" w:rsidRDefault="00D92E94" w:rsidP="00F47F9C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lastRenderedPageBreak/>
        <w:t xml:space="preserve">Direct contact to Mr. Suber’s TMJ’s would not be </w:t>
      </w:r>
      <w:r w:rsidR="00961792">
        <w:rPr>
          <w:rFonts w:ascii="Helvetica" w:hAnsi="Helvetica"/>
          <w:bCs/>
          <w:iCs/>
          <w:sz w:val="22"/>
          <w:szCs w:val="22"/>
        </w:rPr>
        <w:t>expected,</w:t>
      </w:r>
      <w:r>
        <w:rPr>
          <w:rFonts w:ascii="Helvetica" w:hAnsi="Helvetica"/>
          <w:bCs/>
          <w:iCs/>
          <w:sz w:val="22"/>
          <w:szCs w:val="22"/>
        </w:rPr>
        <w:t xml:space="preserve"> and traumatic injury would not be consistent with the dynamics of the crash.</w:t>
      </w:r>
    </w:p>
    <w:p w14:paraId="4A96D093" w14:textId="77777777" w:rsidR="00961792" w:rsidRPr="00961792" w:rsidRDefault="00961792" w:rsidP="00961792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7BD053AF" w14:textId="3BC185FA" w:rsidR="00D92E94" w:rsidRDefault="00D92E94" w:rsidP="00F47F9C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The mechanism of injury for traumatic intervertebral disc disruptions for the cervical and lumbar spine was not present in the subject crash.</w:t>
      </w:r>
    </w:p>
    <w:p w14:paraId="47DF87AD" w14:textId="77777777" w:rsidR="00FA5A2F" w:rsidRDefault="00FA5A2F" w:rsidP="00FA5A2F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4D98669B" w14:textId="50DE0E3C" w:rsidR="00A07640" w:rsidRDefault="00A07640" w:rsidP="00A07640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The motions and compressive loads to the lumbar spine were comparable to common physical activities and progression or structural aggravation of pre-existing degenerative changes would not be expected. The load</w:t>
      </w:r>
      <w:r w:rsidR="00961792">
        <w:rPr>
          <w:rFonts w:ascii="Helvetica" w:hAnsi="Helvetica"/>
          <w:bCs/>
          <w:iCs/>
          <w:sz w:val="22"/>
          <w:szCs w:val="22"/>
        </w:rPr>
        <w:t>s</w:t>
      </w:r>
      <w:r>
        <w:rPr>
          <w:rFonts w:ascii="Helvetica" w:hAnsi="Helvetica"/>
          <w:bCs/>
          <w:iCs/>
          <w:sz w:val="22"/>
          <w:szCs w:val="22"/>
        </w:rPr>
        <w:t xml:space="preserve"> to the cervical spine may have approached, or exceeded common physical activities, but remained below that associated with structural failure.</w:t>
      </w:r>
    </w:p>
    <w:p w14:paraId="0FD641CD" w14:textId="77777777" w:rsidR="00FA5A2F" w:rsidRPr="00FA5A2F" w:rsidRDefault="00FA5A2F" w:rsidP="00FA5A2F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04E7650A" w14:textId="3DAA4653" w:rsidR="00A07640" w:rsidRDefault="008D159D" w:rsidP="00A07640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The mechanism for knee injury was not present in the subject crash.</w:t>
      </w:r>
    </w:p>
    <w:p w14:paraId="5C27837C" w14:textId="77777777" w:rsidR="00FA5A2F" w:rsidRPr="00FA5A2F" w:rsidRDefault="00FA5A2F" w:rsidP="00FA5A2F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0D1ECDE4" w14:textId="7621E96C" w:rsidR="008D159D" w:rsidRDefault="008D159D" w:rsidP="00A07640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The mechanism for injury to the shoulder (traumatic tearing and sprain of the rotator cuff) was not expected to be involved in the subject crash. However, aggravation of a pre-existing condition cannot be entirely excluded.</w:t>
      </w:r>
    </w:p>
    <w:p w14:paraId="6F811B1E" w14:textId="77777777" w:rsidR="00FA5A2F" w:rsidRPr="00FA5A2F" w:rsidRDefault="00FA5A2F" w:rsidP="00FA5A2F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7AC1816E" w14:textId="3996BA9F" w:rsidR="00B177F8" w:rsidRDefault="00B177F8" w:rsidP="00A07640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The mechanism of injury for temporary muscle strains and ligament sprains of the wrist cannot be entirely excluded.</w:t>
      </w:r>
    </w:p>
    <w:p w14:paraId="5E7EB1AA" w14:textId="77777777" w:rsidR="00FA5A2F" w:rsidRPr="00FA5A2F" w:rsidRDefault="00FA5A2F" w:rsidP="00FA5A2F">
      <w:pPr>
        <w:pStyle w:val="ListParagraph"/>
        <w:rPr>
          <w:rFonts w:ascii="Helvetica" w:hAnsi="Helvetica"/>
          <w:bCs/>
          <w:iCs/>
          <w:sz w:val="22"/>
          <w:szCs w:val="22"/>
        </w:rPr>
      </w:pPr>
    </w:p>
    <w:p w14:paraId="2E951FB2" w14:textId="156E0935" w:rsidR="00B177F8" w:rsidRPr="00A07640" w:rsidRDefault="00B177F8" w:rsidP="00A07640">
      <w:pPr>
        <w:pStyle w:val="ListParagraph"/>
        <w:numPr>
          <w:ilvl w:val="0"/>
          <w:numId w:val="9"/>
        </w:numPr>
        <w:spacing w:line="320" w:lineRule="atLeast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>43 studies/publications were cited.</w:t>
      </w:r>
    </w:p>
    <w:p w14:paraId="543D65D3" w14:textId="77777777" w:rsidR="000D1388" w:rsidRPr="000B0B03" w:rsidRDefault="000D1388" w:rsidP="00FD5E4B">
      <w:pPr>
        <w:rPr>
          <w:rFonts w:ascii="Helvetica Neue" w:hAnsi="Helvetica Neue"/>
          <w:bCs/>
          <w:iCs/>
          <w:sz w:val="22"/>
          <w:szCs w:val="22"/>
        </w:rPr>
      </w:pPr>
    </w:p>
    <w:sectPr w:rsidR="000D1388" w:rsidRPr="000B0B03">
      <w:headerReference w:type="even" r:id="rId19"/>
      <w:headerReference w:type="default" r:id="rId20"/>
      <w:headerReference w:type="first" r:id="rId21"/>
      <w:footerReference w:type="first" r:id="rId22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58C734" w14:textId="77777777" w:rsidR="006E74B5" w:rsidRDefault="006E74B5">
      <w:r>
        <w:separator/>
      </w:r>
    </w:p>
  </w:endnote>
  <w:endnote w:type="continuationSeparator" w:id="0">
    <w:p w14:paraId="3412FC74" w14:textId="77777777" w:rsidR="006E74B5" w:rsidRDefault="006E7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default"/>
    <w:sig w:usb0="00000000" w:usb1="00000000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16AFA5" w14:textId="77777777" w:rsidR="006E74B5" w:rsidRDefault="006E74B5">
      <w:r>
        <w:separator/>
      </w:r>
    </w:p>
  </w:footnote>
  <w:footnote w:type="continuationSeparator" w:id="0">
    <w:p w14:paraId="1F69668E" w14:textId="77777777" w:rsidR="006E74B5" w:rsidRDefault="006E74B5">
      <w:r>
        <w:continuationSeparator/>
      </w:r>
    </w:p>
  </w:footnote>
  <w:footnote w:id="1">
    <w:p w14:paraId="68BFED1F" w14:textId="77777777" w:rsidR="00130193" w:rsidRDefault="00130193" w:rsidP="00130193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vCrash America Inc.</w:t>
      </w:r>
    </w:p>
  </w:footnote>
  <w:footnote w:id="2">
    <w:p w14:paraId="6735900A" w14:textId="36202EFB" w:rsidR="00BD1632" w:rsidRPr="00BD1632" w:rsidRDefault="00BD1632">
      <w:pPr>
        <w:pStyle w:val="FootnoteText"/>
        <w:rPr>
          <w:rFonts w:ascii="Helvetica" w:hAnsi="Helvetica" w:cs="Helvetica"/>
          <w:sz w:val="18"/>
          <w:szCs w:val="18"/>
        </w:rPr>
      </w:pPr>
      <w:r w:rsidRPr="00BD1632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BD1632">
        <w:rPr>
          <w:rFonts w:ascii="Helvetica" w:hAnsi="Helvetica" w:cs="Helvetica"/>
          <w:sz w:val="18"/>
          <w:szCs w:val="18"/>
        </w:rPr>
        <w:t xml:space="preserve"> https://www.motortrend.com/reviews/2017-hyundai-elantra-first-test-review/</w:t>
      </w:r>
    </w:p>
  </w:footnote>
  <w:footnote w:id="3">
    <w:p w14:paraId="16375B7B" w14:textId="4EB07C4B" w:rsidR="00AF69EE" w:rsidRPr="00AF69EE" w:rsidRDefault="00AF69EE">
      <w:pPr>
        <w:pStyle w:val="FootnoteText"/>
        <w:rPr>
          <w:rFonts w:ascii="Helvetica" w:hAnsi="Helvetica" w:cs="Helvetica"/>
          <w:sz w:val="18"/>
          <w:szCs w:val="18"/>
        </w:rPr>
      </w:pPr>
      <w:r w:rsidRPr="00AF69EE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AF69EE">
        <w:rPr>
          <w:rFonts w:ascii="Helvetica" w:hAnsi="Helvetica" w:cs="Helvetica"/>
          <w:sz w:val="18"/>
          <w:szCs w:val="18"/>
        </w:rPr>
        <w:t xml:space="preserve"> SAE 89-0634, “The Vocabulary of Accident Reconstruction”, Sens, Guenther, et.al., 1989</w:t>
      </w:r>
    </w:p>
  </w:footnote>
  <w:footnote w:id="4">
    <w:p w14:paraId="47E69631" w14:textId="3FF08896" w:rsidR="00EE7342" w:rsidRPr="00EE7342" w:rsidRDefault="00EE7342">
      <w:pPr>
        <w:pStyle w:val="FootnoteText"/>
        <w:rPr>
          <w:rFonts w:ascii="Helvetica" w:hAnsi="Helvetica" w:cs="Helvetica"/>
          <w:sz w:val="18"/>
          <w:szCs w:val="18"/>
        </w:rPr>
      </w:pPr>
      <w:r w:rsidRPr="00EE7342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EE7342">
        <w:rPr>
          <w:rFonts w:ascii="Helvetica" w:hAnsi="Helvetica" w:cs="Helvetica"/>
          <w:sz w:val="18"/>
          <w:szCs w:val="18"/>
        </w:rPr>
        <w:t xml:space="preserve"> SAE 99-0094, “Practical Analysis Technique for Quantifying Sideswipe Collisions”, Toor, et al., 1999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57BF9"/>
    <w:multiLevelType w:val="hybridMultilevel"/>
    <w:tmpl w:val="9C920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EA3276F"/>
    <w:multiLevelType w:val="hybridMultilevel"/>
    <w:tmpl w:val="125C9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1D7F46"/>
    <w:multiLevelType w:val="hybridMultilevel"/>
    <w:tmpl w:val="C9182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7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4"/>
  </w:num>
  <w:num w:numId="3" w16cid:durableId="14939811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1"/>
  </w:num>
  <w:num w:numId="5" w16cid:durableId="1773623714">
    <w:abstractNumId w:val="3"/>
  </w:num>
  <w:num w:numId="6" w16cid:durableId="111286673">
    <w:abstractNumId w:val="7"/>
  </w:num>
  <w:num w:numId="7" w16cid:durableId="288560141">
    <w:abstractNumId w:val="5"/>
  </w:num>
  <w:num w:numId="8" w16cid:durableId="371926761">
    <w:abstractNumId w:val="0"/>
  </w:num>
  <w:num w:numId="9" w16cid:durableId="1823422285">
    <w:abstractNumId w:val="2"/>
  </w:num>
</w:numbering>
</file>

<file path=word/settings.xml><?xml version="1.0" encoding="utf-8"?>
<w:settings xmlns:w="http://schemas.openxmlformats.org/wordprocessingml/2006/main">
  <w:zoom w:percent="18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  <w:style w:type="paragraph" w:styleId="Revision">
    <w:name w:val="Revision"/>
    <w:hidden/>
    <w:uiPriority w:val="99"/>
    <w:semiHidden/>
    <w:rsid w:val="0078703D"/>
    <w:pPr>
      <w:spacing w:line="240" w:lineRule="auto"/>
      <w:jc w:val="left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eg"/>
<Relationship Id="rId18" Type="http://schemas.openxmlformats.org/officeDocument/2006/relationships/image" Target="media/image11.png"/>
<Relationship Id="rId3" Type="http://schemas.openxmlformats.org/officeDocument/2006/relationships/styles" Target="styles.xml"/>
<Relationship Id="rId21" Type="http://schemas.openxmlformats.org/officeDocument/2006/relationships/header" Target="header3.xml"/>
<Relationship Id="rId7" Type="http://schemas.openxmlformats.org/officeDocument/2006/relationships/endnotes" Target="endnotes.xml"/>
<Relationship Id="rId12" Type="http://schemas.openxmlformats.org/officeDocument/2006/relationships/image" Target="media/image5.jpeg"/>
<Relationship Id="rId17" Type="http://schemas.openxmlformats.org/officeDocument/2006/relationships/image" Target="media/image10.jpeg"/>
<Relationship Id="rId2" Type="http://schemas.openxmlformats.org/officeDocument/2006/relationships/numbering" Target="numbering.xml"/>
<Relationship Id="rId16" Type="http://schemas.openxmlformats.org/officeDocument/2006/relationships/image" Target="media/image9.jpeg"/>
<Relationship Id="rId20" Type="http://schemas.openxmlformats.org/officeDocument/2006/relationships/header" Target="header2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eg"/>
<Relationship Id="rId24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eg"/>
<Relationship Id="rId23" Type="http://schemas.openxmlformats.org/officeDocument/2006/relationships/fontTable" Target="fontTable.xml"/>
<Relationship Id="rId10" Type="http://schemas.openxmlformats.org/officeDocument/2006/relationships/image" Target="media/image3.jpeg"/>
<Relationship Id="rId19" Type="http://schemas.openxmlformats.org/officeDocument/2006/relationships/header" Target="header1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eg"/>
<Relationship Id="rId22" Type="http://schemas.openxmlformats.org/officeDocument/2006/relationships/footer" Target="footer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2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2786</Words>
  <Characters>15886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18635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2</cp:revision>
  <cp:lastPrinted>2021-09-07T15:25:00Z</cp:lastPrinted>
  <dcterms:created xsi:type="dcterms:W3CDTF">2024-05-31T23:19:00Z</dcterms:created>
  <dcterms:modified xsi:type="dcterms:W3CDTF">2024-06-03T16:50:40Z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