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1.docx" ContentType="application/vnd.openxmlformats-officedocument.wordprocessingml.document.main+xml"/>
  <Override PartName="/word/med_hx2.docx" ContentType="application/vnd.openxmlformats-officedocument.wordprocessingml.document.main+xml"/>
  <Override PartName="/word/med_hx_docs_reviewed1.docx" ContentType="application/vnd.openxmlformats-officedocument.wordprocessingml.document.main+xml"/>
  <Override PartName="/word/med_hx_docs_reviewed2.docx" ContentType="application/vnd.openxmlformats-officedocument.wordprocessingml.document.main+xml"/>
  <Override PartName="/word/docs_reviewed.docx" ContentType="application/vnd.openxmlformats-officedocument.wordprocessingml.document.main+xml"/>
  <Override PartName="/word/reconstruction.docx" ContentType="application/vnd.openxmlformats-officedocument.wordprocessingml.document.main+xml"/>
  <Override PartName="/word/analysis.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June 27, 2024</w:t>
      </w:r>
    </w:p>
    <w:p>
      <w:pPr>
        <w:pStyle w:val="BodyText2"/>
      </w:pPr>
    </w:p>
    <w:p>
      <w:pPr>
        <w:pStyle w:val="BodyText2"/>
      </w:pPr>
      <w:r>
        <w:t xml:space="preserve">Todd Schroeder Esquire</w:t>
      </w:r>
    </w:p>
    <w:p>
      <w:pPr>
        <w:pStyle w:val="BodyText2"/>
      </w:pPr>
      <w:r>
        <w:t xml:space="preserve">McKeen &amp; Associates, P.C.</w:t>
      </w:r>
    </w:p>
    <w:p>
      <w:pPr>
        <w:pStyle w:val="BodyText2"/>
      </w:pPr>
      <w:r>
        <w:t xml:space="preserve">645 Griswold Street, Suite 4200</w:t>
      </w:r>
    </w:p>
    <w:p>
      <w:pPr>
        <w:pStyle w:val="BodyText2"/>
      </w:pPr>
      <w:r>
        <w:t xml:space="preserve">Detroit, Michigan 48226</w:t>
      </w:r>
    </w:p>
    <w:p>
      <w:pPr>
        <w:pStyle w:val="BodyText2"/>
      </w:pPr>
    </w:p>
    <w:p>
      <w:pPr>
        <w:pStyle w:val="BodyText2"/>
      </w:pPr>
      <w:r>
        <w:t xml:space="preserve">Tel: (313) 961-4400</w:t>
      </w:r>
    </w:p>
    <w:p>
      <w:pPr>
        <w:pStyle w:val="BodyText2"/>
      </w:pPr>
    </w:p>
    <w:p>
      <w:pPr>
        <w:pStyle w:val="BodyText2"/>
      </w:pPr>
    </w:p>
    <w:p>
      <w:pPr>
        <w:pStyle w:val="BodyText2"/>
      </w:pPr>
      <w:r>
        <w:t xml:space="preserve">RE:	</w:t>
      </w:r>
      <w:r>
        <w:rPr>
          <w:rFonts/>
          <w:i w:val="true"/>
        </w:rPr>
        <w:t xml:space="preserve">Norman Brown; Norman Norman et al. v Keith Rhymer, et al., Case No: 2:23-cv-02426, United States District Court for the Southern District of Ohio Eastern Division</w:t>
      </w:r>
    </w:p>
    <w:p>
      <w:pPr>
        <w:pStyle w:val="BodyText2"/>
      </w:pPr>
    </w:p>
    <w:p>
      <w:pPr>
        <w:pStyle w:val="BodyText2"/>
      </w:pPr>
    </w:p>
    <w:p>
      <w:pPr>
        <w:pStyle w:val="BodyText2"/>
      </w:pPr>
      <w:r>
        <w:t xml:space="preserve">Date of Crash:	July 19, 2021</w:t>
      </w:r>
    </w:p>
    <w:p>
      <w:pPr>
        <w:pStyle w:val="BodyText2"/>
      </w:pPr>
      <w:r>
        <w:t xml:space="preserve">Date of Birth:	</w:t>
      </w:r>
      <w:r>
        <w:rPr>
          <w:rFonts/>
          <w:i w:val="true"/>
        </w:rPr>
        <w:t xml:space="preserve">Norman Brown: </w:t>
      </w:r>
      <w:r>
        <w:t xml:space="preserve">April 1, 1958</w:t>
      </w:r>
      <w:r>
        <w:t xml:space="preserve"> [</w:t>
      </w:r>
      <w:r>
        <w:t xml:space="preserve">63</w:t>
      </w:r>
      <w:r>
        <w:t xml:space="preserve"> years old at time of crash]</w:t>
      </w:r>
    </w:p>
    <w:p>
      <w:pPr>
        <w:pStyle w:val="BodyText2"/>
      </w:pPr>
      <w:r>
        <w:t xml:space="preserve">	</w:t>
      </w:r>
      <w:r>
        <w:rPr>
          <w:rFonts/>
          <w:i w:val="true"/>
        </w:rPr>
        <w:t xml:space="preserve">Norman Norman: </w:t>
      </w:r>
      <w:r>
        <w:t xml:space="preserve">April 1, 1958</w:t>
      </w:r>
      <w:r>
        <w:t xml:space="preserve"> [</w:t>
      </w:r>
      <w:r>
        <w:t xml:space="preserve">63</w:t>
      </w:r>
      <w:r>
        <w:t xml:space="preserve"> years old at time of crash]</w:t>
      </w:r>
    </w:p>
    <w:p>
      <w:pPr>
        <w:pStyle w:val="BodyText2"/>
      </w:pPr>
    </w:p>
    <w:p>
      <w:pPr>
        <w:pStyle w:val="BodyText2"/>
      </w:pPr>
    </w:p>
    <w:p>
      <w:pPr>
        <w:pStyle w:val="Normal"/>
      </w:pPr>
      <w:r>
        <w:t xml:space="preserve">Dear Mr. Schroeder</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rear impact collision and Mr. Brown and Mr. Norman’s subsequently diagnosed disk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pPr>
        <w:pStyle w:val="Normal"/>
      </w:pPr>
    </w:p>
    <w:p>
      <w:pPr>
        <w:pStyle w:val="Normal"/>
      </w:pPr>
      <w:r>
        <w:t xml:space="preserve">I have provided testimony in more than 450 civil and criminal trials in state and Federal courts throughout the United States, Canada, and Australia. Please see my CV for further details.</w:t>
      </w:r>
      <w:r>
        <w:br w:type="page"/>
      </w:r>
    </w:p>
    <w:altChunk r:id="rId14"/>
    <w:p>
      <w:pPr>
        <w:pStyle w:val="Normal"/>
      </w:pPr>
    </w:p>
    <w:p>
      <w:pPr>
        <w:pStyle w:val="Normal"/>
      </w:pPr>
      <w:r>
        <w:rPr>
          <w:rFonts/>
          <w:i w:val="true"/>
          <w:u w:val="single"/>
        </w:rPr>
        <w:t xml:space="preserve">Post-crash history, Norman Brown (driver)</w:t>
      </w:r>
    </w:p>
    <w:altChunk r:id="rId15"/>
    <w:p>
      <w:pPr>
        <w:pStyle w:val="Normal"/>
      </w:pPr>
    </w:p>
    <w:p>
      <w:pPr>
        <w:pStyle w:val="Normal"/>
      </w:pPr>
      <w:r>
        <w:rPr>
          <w:rFonts/>
          <w:i w:val="true"/>
          <w:u w:val="single"/>
        </w:rPr>
        <w:t xml:space="preserve">Post-crash history, Norman Norman (front passenger)</w:t>
      </w:r>
    </w:p>
    <w:altChunk r:id="rId16"/>
    <w:p>
      <w:pPr>
        <w:pStyle w:val="Normal"/>
      </w:pPr>
    </w:p>
    <w:p>
      <w:pPr>
        <w:pStyle w:val="Normal"/>
      </w:pPr>
      <w:r>
        <w:rPr>
          <w:rFonts/>
          <w:b w:val="true"/>
          <w:u w:val="single"/>
        </w:rPr>
        <w:t xml:space="preserve">Documents Reviewed</w:t>
      </w:r>
    </w:p>
    <w:altChunk r:id="rId17"/>
    <w:altChunk r:id="rId18"/>
    <w:altChunk r:id="rId19"/>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1.	Whether the injury mechanism had the potential to cause the injury in question (aka general causation);</w:t>
      </w:r>
    </w:p>
    <w:p>
      <w:pPr>
        <w:pStyle w:val="BodyText3"/>
      </w:pPr>
      <w:r>
        <w:t xml:space="preserve">2.	The degree of temporal proximity between the injury mechanism and the onset of the symptoms reasonably indicating the presence of the injury; and</w:t>
      </w:r>
    </w:p>
    <w:p>
      <w:pPr>
        <w:pStyle w:val="BodyText3"/>
      </w:pPr>
      <w:r>
        <w:t xml:space="preserve">3.	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Injury mechanism: reconstruction of the crash, injury biomechanics</w:t>
      </w:r>
    </w:p>
    <w:p>
      <w:pPr>
        <w:pStyle w:val="Normal"/>
      </w:pPr>
      <w:r>
        <w:rPr>
          <w:rFonts/>
          <w:i w:val="true"/>
          <w:u w:val="single"/>
        </w:rPr>
        <w:t xml:space="preserve">Reconstruction:</w:t>
      </w:r>
    </w:p>
    <w:altChunk r:id="rId20"/>
    <w:p>
      <w:pPr>
        <w:pStyle w:val="Normal"/>
      </w:pPr>
    </w:p>
    <w:p>
      <w:pPr>
        <w:pStyle w:val="Normal"/>
      </w:pPr>
      <w:r>
        <w:rPr>
          <w:rFonts/>
          <w:i w:val="true"/>
          <w:u w:val="single"/>
        </w:rPr>
        <w:t xml:space="preserve">Analysis:</w:t>
      </w:r>
    </w:p>
    <w:altChunk r:id="rId21"/>
    <w:p>
      <w:pPr>
        <w:pStyle w:val="Normal"/>
      </w:pPr>
    </w:p>
    <w:p>
      <w:pPr>
        <w:pStyle w:val="Normal"/>
      </w:pPr>
      <w:r>
        <w:rPr>
          <w:rFonts/>
          <w:i w:val="true"/>
        </w:rPr>
        <w:t xml:space="preserve">Injury biomechanics</w:t>
      </w:r>
    </w:p>
    <w:p>
      <w:pPr>
        <w:pStyle w:val="Normal"/>
      </w:pPr>
      <w:r>
        <w:t xml:space="preserve">The rear impact would have resulted in Mr. Brown and Mr. Norman’s torsos and heads initially being thrown rearwards into the seatback at around 11 mph, and then rebounding forward into the restraining seat belt and toward the steering wheel (the first part of the crash kinematics that they ). they would have sustained substantial complex loads on their spines in the collision, loads that include compression, rotation, and shear all occurring at the same time and to varying degrees in less time than it takes to blink an eye (around 250 msecs).</w:t>
      </w:r>
    </w:p>
    <w:p>
      <w:pPr>
        <w:pStyle w:val="Normal"/>
      </w:pPr>
    </w:p>
    <w:p>
      <w:pPr>
        <w:pStyle w:val="Normal"/>
      </w:pPr>
      <w:r>
        <w:t xml:space="preserve">The National Highway Traffic Safety Administration (NHTSA) has published injury risk curves for rear impact crashes, demonstrating a rate of minor or greater “MAIS 1+” (Maximum Abbreviated Injury Scale injury severity grade of 1 or more) injuries, nearly all requiring an emergency department visit, of 25% for a 11 mph delta V rear impact collision (see the blue arrow in the chart below).  Approximately 94% of spinal disk injuries would be included in this category of injuries, as this is the rate at which disk injuries are initially diagnosed as strains (i.e., MAIS 1 [minor injuries]) in the emergency department in the first day or 2 after a crash, which is the source of the NHTSA data.  There is also an approximately 1% chance of an immediately apparent more serious injury, including fracture, organ injury, or intracranial bleeding, etc. in a moderate speed rear impact crash of the same severity (see the red arrow in the chart below).</w:t>
      </w:r>
    </w:p>
    <w:p>
      <w:pPr>
        <w:pStyle w:val="Normal"/>
      </w:pPr>
    </w:p>
    <w:p>
      <w:pPr>
        <w:pStyle w:val="Subtitle"/>
      </w:pPr>
      <w:r>
        <w:rPr/>
        <w:drawing>
          <wp:inline distT="0" distB="0" distL="0" distR="0">
            <wp:extent cx="3840480" cy="3024655"/>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22"/>
                    <a:stretch>
                      <a:fillRect/>
                    </a:stretch>
                  </pic:blipFill>
                  <pic:spPr bwMode="auto">
                    <a:xfrm>
                      <a:off x="0" y="0"/>
                      <a:ext cx="53340" cy="42009"/>
                    </a:xfrm>
                    <a:prstGeom prst="rect">
                      <a:avLst/>
                    </a:prstGeom>
                    <a:noFill/>
                  </pic:spPr>
                </pic:pic>
              </a:graphicData>
            </a:graphic>
          </wp:inline>
        </w:drawing>
      </w:r>
    </w:p>
    <w:p>
      <w:pPr>
        <w:pStyle w:val="Caption"/>
      </w:pPr>
      <w:r>
        <w:t xml:space="preserve">Chart showing the relationship between a ~5 to 6 mph delta V (red band) rear impact and cervical disk injury risk observed in 113 people exposed to real-world crashes. As demonstrated in the chart, the risk of a cervical disk injury ranges from 2.5 to 3.3%, or around 1 in 40 to 1 in 30 in such a crash. The risk to the low back is approximately 60% that of the risk to the neck. </w:t>
      </w:r>
      <w:r>
        <w:rPr>
          <w:rFonts/>
          <w:i w:val="true"/>
        </w:rPr>
        <w:t xml:space="preserve">Note:</w:t>
      </w:r>
      <w:r>
        <w:t xml:space="preserve"> 5 to 6 mph is approximately equal to 8 to 10 km/h on the chart.</w:t>
      </w:r>
    </w:p>
    <w:p>
      <w:pPr>
        <w:pStyle w:val="Normal"/>
      </w:pPr>
    </w:p>
    <w:p>
      <w:pPr>
        <w:pStyle w:val="Normal"/>
      </w:pPr>
      <w:r>
        <w:t xml:space="preserve">Discussion</w:t>
      </w:r>
    </w:p>
    <w:p>
      <w:pPr>
        <w:pStyle w:val="Normal"/>
      </w:pPr>
      <w:r>
        <w:t xml:space="preserve">The types of spinal injuries that Mr. Brown and Mr. Norman were diagnosed with (primarily chronically symptomatic disk derangements)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early 7th decade, like Mr. Brown (who was 63 at the time of the crash) typically have moderate to advanced age-related degenerative changes of the disks of the spine, a fact that makes the post-crash findings in Mr. Brown and Mr. Norman’s imaging reasonably a combination of post-traumatic overlaying degeneration, as opposed to solely due to either trauma or pre-existing degeneration.</w:t>
      </w:r>
    </w:p>
    <w:p>
      <w:pPr>
        <w:pStyle w:val="Normal"/>
      </w:pPr>
    </w:p>
    <w:p>
      <w:pPr>
        <w:pStyle w:val="Normal"/>
      </w:pPr>
      <w:r>
        <w:t xml:space="preserve">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Pr>
          <w:rFonts/>
          <w:vertAlign w:val="superscript"/>
        </w:rPr>
        <w:footnoteReference w:id="5"/>
      </w:r>
      <w:r>
        <w:t xml:space="preserve"> By far, the majority (94%) of what are later determined to be spinal disk injuries are initially diagnosed as in the ED as spinal strains.</w:t>
      </w:r>
    </w:p>
    <w:p>
      <w:pPr>
        <w:pStyle w:val="Normal"/>
      </w:pPr>
    </w:p>
    <w:p>
      <w:pPr>
        <w:pStyle w:val="Normal"/>
      </w:pPr>
      <w:r>
        <w:t xml:space="preserve">Although the subject crash was no "bumper tap" it is well established in science and medicine that an excessive level of force is not required to cause symptomatic injury to a degenerated disk, and that in most cases, the diagnostic imaging of the disk will not reveal whether related symptoms are of a traumatic origin or not, in the absence of fracture.</w:t>
      </w:r>
      <w:r>
        <w:rPr>
          <w:rFonts/>
          <w:vertAlign w:val="superscript"/>
        </w:rPr>
        <w:footnoteReference w:id="6"/>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7"/>
      </w:r>
      <w:r>
        <w:rPr>
          <w:rFonts/>
          <w:vertAlign w:val="superscript"/>
        </w:rPr>
        <w:t xml:space="preserve">-</w:t>
      </w:r>
      <w:r>
        <w:rPr>
          <w:rFonts/>
          <w:vertAlign w:val="superscript"/>
        </w:rPr>
        <w:footnoteReference w:id="8"/>
      </w:r>
      <w:r>
        <w:rPr>
          <w:rFonts/>
          <w:vertAlign w:val="superscript"/>
        </w:rPr>
        <w:footnoteReference w:id="9"/>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Mr. Brown and Mr. Norman’s bodies in the subject collision to have caused their medically documented injuries, and associated need for evaluation and treatment, including their spinal pain management procedures, etc.</w:t>
      </w:r>
    </w:p>
    <w:p>
      <w:pPr>
        <w:pStyle w:val="Normal"/>
      </w:pPr>
    </w:p>
    <w:p>
      <w:pPr>
        <w:pStyle w:val="Normal"/>
      </w:pPr>
    </w:p>
    <w:p>
      <w:pPr>
        <w:pStyle w:val="Normal"/>
      </w:pPr>
      <w:r>
        <w:rPr>
          <w:rFonts/>
          <w:b w:val="true"/>
        </w:rPr>
        <w:t xml:space="preserve">Temporal relationship between the crash and symptoms indicative of injury</w:t>
      </w:r>
    </w:p>
    <w:p>
      <w:pPr>
        <w:pStyle w:val="Normal"/>
      </w:pPr>
      <w:r>
        <w:t xml:space="preserve">The second step of the injury causation analysis is the assessment of the timing between the trauma and the onset of symptoms indicative of injury. The hallmark of injury is that "you know it when it happens;" </w:t>
      </w:r>
      <w:r>
        <w:rPr>
          <w:rFonts/>
          <w:i w:val="true"/>
        </w:rPr>
        <w:t xml:space="preserve">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pPr>
        <w:pStyle w:val="Normal"/>
      </w:pPr>
    </w:p>
    <w:p>
      <w:pPr>
        <w:pStyle w:val="Normal"/>
      </w:pPr>
      <w:r>
        <w:t xml:space="preserve">Mr. Brown experienced the onset of symptoms indicative of acute spinal injury immediately after the crash, and they were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Mr. Brown and Mr. Norman's diagnosed low back and cervical spinal injuries, and associated need for treatment.</w:t>
      </w:r>
    </w:p>
    <w:p>
      <w:pPr>
        <w:pStyle w:val="Normal"/>
      </w:pPr>
    </w:p>
    <w:p>
      <w:pPr>
        <w:pStyle w:val="Normal"/>
      </w:pPr>
      <w:r>
        <w:t xml:space="preserve">Based on this history, there was a strong temporal relationship between the subject collision and Mr. Brown and Mr. Norman’s first development of symptoms indicative of spinal injury.</w:t>
      </w:r>
    </w:p>
    <w:p>
      <w:pPr>
        <w:pStyle w:val="Normal"/>
      </w:pPr>
    </w:p>
    <w:p>
      <w:pPr>
        <w:pStyle w:val="Normal"/>
      </w:pPr>
    </w:p>
    <w:p>
      <w:pPr>
        <w:pStyle w:val="Normal"/>
      </w:pPr>
      <w:r>
        <w:rPr>
          <w:rFonts/>
          <w:b w:val="true"/>
        </w:rPr>
        <w:t xml:space="preserve">Alternative explanations</w:t>
      </w:r>
    </w:p>
    <w:p>
      <w:pPr>
        <w:pStyle w:val="Normal"/>
      </w:pPr>
      <w:r>
        <w:t xml:space="preserve">This last step of the injury causation analysis specific to the individual involves the assessment of the probability of the same symptoms, injuries, diagnoses, and need for treatment occurring at the same point in time, but in the absence of the investigated crash.</w:t>
      </w:r>
    </w:p>
    <w:p>
      <w:pPr>
        <w:pStyle w:val="Normal"/>
      </w:pPr>
    </w:p>
    <w:p>
      <w:pPr>
        <w:pStyle w:val="Normal"/>
      </w:pPr>
      <w:r>
        <w:t xml:space="preserve">This part of the analysis is accomplished in 2 ways; first and most obviously, any competing contemporaneous traumatic cause of injury must be ruled out. There is, however, no such history for Mr. Brown or Mr. Norman, and the only source of trauma apparent in my review of materials that is temporally proximate to their post-crash injuries is the July 19, 2021, moderate speed rear impact crash.</w:t>
      </w:r>
    </w:p>
    <w:p>
      <w:pPr>
        <w:pStyle w:val="Normal"/>
      </w:pPr>
    </w:p>
    <w:p>
      <w:pPr>
        <w:pStyle w:val="Normal"/>
      </w:pP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4"/>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5"/>
      </w:r>
      <w:r>
        <w:t xml:space="preserve"> Based on this comparison of risk during the timeframe of interest, the crash is the most likely cause of Mr. Brown and Mr. Norman’s chronic spinal injuries by &gt;99%.</w:t>
      </w: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6"/>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7"/>
      </w:r>
      <w:r>
        <w:t xml:space="preserve"> Based on this comparison of risk during the timeframe of interest, the crash is the most likely cause of Mr. Brown and Mr. Norman’s chronic spinal injuries by &gt;99%.</w:t>
      </w:r>
    </w:p>
    <w:p>
      <w:pPr>
        <w:pStyle w:val="Normal"/>
      </w:pPr>
    </w:p>
    <w:p>
      <w:pPr>
        <w:pStyle w:val="Normal"/>
      </w:pPr>
      <w:r>
        <w:t xml:space="preserve">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pPr>
        <w:pStyle w:val="Normal"/>
      </w:pPr>
    </w:p>
    <w:p>
      <w:pPr>
        <w:pStyle w:val="Normal"/>
      </w:pPr>
      <w:r>
        <w:t xml:space="preserve">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rFonts/>
          <w:vertAlign w:val="superscript"/>
        </w:rPr>
        <w:footnoteReference w:id="18"/>
      </w:r>
      <w:r>
        <w:rPr>
          <w:rFonts/>
          <w:vertAlign w:val="superscript"/>
        </w:rPr>
        <w:t xml:space="preserve">,</w:t>
      </w:r>
      <w:r>
        <w:rPr>
          <w:rFonts/>
          <w:vertAlign w:val="superscript"/>
        </w:rPr>
        <w:footnoteReference w:id="19"/>
      </w:r>
      <w:r>
        <w:t xml:space="preserve"> Systematic reviews are considered the most reliable and strongest form of scientific evidence (i.e. Level I evidence), as they consist of a comprehensive synthesis of world literature on a topic.</w:t>
      </w:r>
      <w:r>
        <w:rPr>
          <w:rFonts/>
          <w:vertAlign w:val="superscript"/>
        </w:rPr>
        <w:footnoteReference w:id="20"/>
      </w:r>
      <w:r>
        <w:t xml:space="preserve"> The result of the analyses indicate that when men like Mr. Brown and Mr. Norman have persisting neck or back pain after an acute crash-related injury, </w:t>
      </w:r>
      <w:r>
        <w:rPr>
          <w:rFonts/>
          <w:i w:val="true"/>
        </w:rPr>
        <w:t xml:space="preserve">more often than not</w:t>
      </w:r>
      <w:r>
        <w:t xml:space="preserve"> (&gt;50% of the time) the symptoms are due to the crash, versus all other causes, regardless of pre-crash medical history.</w:t>
      </w:r>
    </w:p>
    <w:p>
      <w:pPr>
        <w:pStyle w:val="Normal"/>
      </w:pPr>
    </w:p>
    <w:p>
      <w:pPr>
        <w:pStyle w:val="Normal"/>
      </w:pPr>
      <w:r>
        <w:rPr>
          <w:rFonts/>
        </w:rPr>
        <w:t xml:space="preserve">Conclusions</w:t>
      </w:r>
      <w:r>
        <w:rPr>
          <w:rFonts/>
        </w:rPr>
        <w:t xml:space="preserve">&lt;w:rPr&gt;&lt;w:rFonts/&gt;&lt;w:b w:val="true"/&gt;&lt;w:u w:val="single"/&gt;&lt;/w:rPr&gt;</w:t>
      </w:r>
    </w:p>
    <w:p>
      <w:pPr>
        <w:pStyle w:val="Normal"/>
      </w:pPr>
      <w:r>
        <w:t xml:space="preserve">Given the contiguous chain of causation from the day of the crash through Mr. Brown and Mr. Norman’s most recent medical records, the lack of any significant pre-crash history of persisting spine pain and need for treatment in the years prior to the crash, as well as the relative risk of significant and persisting spine injury from the subject rear impact crash, I conclude that the most probable cause of the post-crash acute and chronic neck and low back injuries described in Mr. Brown and Mr. Norman’s medical records and summarized in this report, including their symptomatic cervical and lumbar disk derangements, is the subject July 19, 2021, moderate speed rear impact crash.</w:t>
      </w:r>
    </w:p>
    <w:p>
      <w:pPr>
        <w:pStyle w:val="Normal"/>
      </w:pPr>
    </w:p>
    <w:p>
      <w:pPr>
        <w:pStyle w:val="Normal"/>
      </w:pPr>
      <w:r>
        <w:t xml:space="preserve">I have examined neither Mr. Brown nor Mr. Norman and I therefore have no opinions about their diagnoses, treatment, or prognoses outside of what is reflected in the medical record.</w:t>
      </w:r>
    </w:p>
    <w:p>
      <w:pPr>
        <w:pStyle w:val="Normal"/>
      </w:pP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3657600" cy="1031386"/>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23"/>
                    <a:stretch>
                      <a:fillRect/>
                    </a:stretch>
                  </pic:blipFill>
                  <pic:spPr bwMode="auto">
                    <a:xfrm>
                      <a:off x="0" y="0"/>
                      <a:ext cx="50800" cy="14325"/>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p>
      <w:pPr>
        <w:pStyle w:val="Normal"/>
      </w:pPr>
      <w:r>
        <w:br w:type="page"/>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b w:val="true"/>
        </w:rPr>
        <w:t xml:space="preserve">Appendix</w:t>
      </w:r>
    </w:p>
    <w:p>
      <w:pPr>
        <w:pStyle w:val="Normal"/>
      </w:pPr>
    </w:p>
    <w:p>
      <w:pPr>
        <w:pStyle w:val="Normal"/>
      </w:pPr>
      <w:r>
        <w:t xml:space="preserve">The 3-step causation methodology that I have used in this case is set forth in a number of my peer-reviewed publications, including a paper entitled </w:t>
      </w:r>
      <w:r>
        <w:rPr>
          <w:rFonts/>
          <w:i w:val="true"/>
        </w:rPr>
        <w:t xml:space="preserve">A Systematic Approach to Clinical Determinations of Causation in Symptomatic Spinal Disk Injury Following Motor Vehicle Crash Trauma</w:t>
      </w:r>
      <w:r>
        <w:t xml:space="preserve">, published in the </w:t>
      </w:r>
      <w:r>
        <w:rPr>
          <w:rFonts/>
          <w:u w:val="single"/>
        </w:rPr>
        <w:t xml:space="preserve">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pPr>
        <w:pStyle w:val="Normal"/>
      </w:pPr>
    </w:p>
    <w:p>
      <w:pPr>
        <w:pStyle w:val="Normal"/>
      </w:pPr>
      <w:r>
        <w:t xml:space="preserve">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pPr>
        <w:pStyle w:val="Normal"/>
      </w:pPr>
    </w:p>
    <w:p>
      <w:pPr>
        <w:pStyle w:val="NumberList"/>
      </w:pPr>
      <w:r>
        <w:t xml:space="preserve">1.	</w:t>
      </w:r>
      <w:r>
        <w:rPr>
          <w:rFonts/>
          <w:u w:val="single"/>
        </w:rPr>
        <w:t xml:space="preserve">Plausibility</w:t>
      </w:r>
      <w:r>
        <w:t xml:space="preserve">: This first step addresses whether it is biologically </w:t>
      </w:r>
      <w:r>
        <w:rPr>
          <w:rFonts/>
          <w:i w:val="true"/>
        </w:rPr>
        <w:t xml:space="preserve">possible</w:t>
      </w:r>
      <w:r>
        <w:t xml:space="preserve"> for the injury event to have caused the condition (a.k.a general causation). A finding of plausibility is unrelated to the </w:t>
      </w:r>
      <w:r>
        <w:rPr>
          <w:rFonts/>
          <w:i w:val="true"/>
        </w:rPr>
        <w:t xml:space="preserve">frequency</w:t>
      </w:r>
      <w:r>
        <w:t xml:space="preserve"> of the injury, because even if the injury occurs in only 1 in 100 or fewer cases of exposure to the event (e.g. a spinal disk injury following a car crash), it is still </w:t>
      </w:r>
      <w:r>
        <w:rPr>
          <w:rFonts/>
          <w:i w:val="true"/>
        </w:rPr>
        <w:t xml:space="preserve">plausibly</w:t>
      </w:r>
      <w:r>
        <w:t xml:space="preserve"> caused by the event. Plausibility is a relatively low hurdle to clear in a causal analysis and is largely satisfied by the lack of evidence of </w:t>
      </w:r>
      <w:r>
        <w:rPr>
          <w:rFonts/>
          <w:i w:val="true"/>
        </w:rPr>
        <w:t xml:space="preserve">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rFonts/>
          <w:i w:val="true"/>
        </w:rPr>
        <w:t xml:space="preserve">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pPr>
        <w:pStyle w:val="Normal"/>
      </w:pPr>
    </w:p>
    <w:p>
      <w:pPr>
        <w:pStyle w:val="NumberList"/>
      </w:pPr>
      <w:r>
        <w:t xml:space="preserve">2.	</w:t>
      </w:r>
      <w:r>
        <w:rPr>
          <w:rFonts/>
          <w:u w:val="single"/>
        </w:rPr>
        <w:t xml:space="preserve">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pPr>
        <w:pStyle w:val="Normal"/>
      </w:pPr>
    </w:p>
    <w:p>
      <w:pPr>
        <w:pStyle w:val="NumberList"/>
      </w:pPr>
      <w:r>
        <w:t xml:space="preserve">3.	</w:t>
      </w:r>
      <w:r>
        <w:rPr>
          <w:rFonts/>
          <w:u w:val="single"/>
        </w:rPr>
        <w:t xml:space="preserve">Lack of a more probable alternative explanation</w:t>
      </w:r>
      <w:r>
        <w:t xml:space="preserve">: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Since there is no information that can be gleaned from an examination of the plaintiff regarding her or her condition in the hypothetical absence of the crash, epidemiologic data often serves as the basis for the evaluation of the probability of alternative explanations. More probable alternative explanations are often intervening traumatic events that alter the clinical history in a substantive way. As an example, for a plaintiff with neck strain symptoms that lasted for 1 week after a crash, who is then involved in second collision a month later that results in neck and arm pain and is ultimately diagnosed with a cervical disk herniation, the second collision is easily identified as a more probable cause of the disk derangement than the antecedent crash. This is in part due to the abrupt change in the distribution of the symptoms more consistent with a disk derangement, but also the epidemiologically based conclusion that it is rare for a cervical strain that improves rapidly to evolve into a cervical disk herniation, and thus but-for the second crash, the condition would not have manifested.</w:t>
      </w:r>
    </w:p>
    <w:p>
      <w:pPr>
        <w:pStyle w:val="Normal"/>
      </w:pPr>
    </w:p>
    <w:p>
      <w:pPr>
        <w:pStyle w:val="Normal"/>
      </w:pPr>
      <w:r>
        <w:t xml:space="preserve">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pPr>
        <w:pStyle w:val="Normal"/>
      </w:pPr>
    </w:p>
    <w:p>
      <w:pPr>
        <w:pStyle w:val="Quote"/>
      </w:pPr>
      <w:r>
        <w:t xml:space="preserve">"…his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pPr>
        <w:pStyle w:val="Normal"/>
      </w:pPr>
    </w:p>
    <w:p>
      <w:pPr>
        <w:pStyle w:val="Normal"/>
      </w:pPr>
      <w:r>
        <w:t xml:space="preserve">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pPr>
        <w:pStyle w:val="Normal"/>
      </w:pPr>
    </w:p>
    <w:p>
      <w:pPr>
        <w:pStyle w:val="Normal"/>
      </w:pPr>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rFonts/>
          <w:i w:val="true"/>
        </w:rPr>
        <w:t xml:space="preserve">Etherton v. Owners Insurance Company</w:t>
      </w:r>
      <w:r>
        <w:t xml:space="preserve">,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pPr>
        <w:pStyle w:val="Normal"/>
      </w:pPr>
    </w:p>
    <w:p>
      <w:pPr>
        <w:pStyle w:val="Normal"/>
      </w:pPr>
      <w:r>
        <w:t xml:space="preserve">Below is a partial list of publications in scientific journals in which my descriptions of the 3-step methodology described in the </w:t>
      </w:r>
      <w:r>
        <w:rPr>
          <w:rFonts/>
          <w:i w:val="true"/>
        </w:rPr>
        <w:t xml:space="preserve">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pPr>
        <w:pStyle w:val="Normal"/>
      </w:pPr>
    </w:p>
    <w:p>
      <w:pPr>
        <w:pStyle w:val="Bibliography"/>
      </w:pPr>
      <w:r>
        <w:t xml:space="preserve">Dianita Ika Melia P, Zeegers MP, Herkutanto H, Freeman MD. Medicolegal causation investigation of bacterial endocarditis associated with an oral surgery practice using the INFERENCE approach. </w:t>
      </w:r>
      <w:r>
        <w:rPr>
          <w:rFonts/>
          <w:i w:val="true"/>
        </w:rPr>
        <w:t xml:space="preserve">Int J Environ Res Public Health</w:t>
      </w:r>
      <w:r>
        <w:t xml:space="preserve"> 2021:18,7530. https://doi.org/10.3390/ijerph18147530.</w:t>
      </w:r>
    </w:p>
    <w:p>
      <w:pPr>
        <w:pStyle w:val="Normal"/>
      </w:pPr>
    </w:p>
    <w:p>
      <w:pPr>
        <w:pStyle w:val="Bibliography"/>
      </w:pPr>
      <w:r>
        <w:t xml:space="preserve">Dianita Ika Melia P, Zeeger MP, Herkutanto H, Freeman MD. Development of the INFERENCE (INtegration of Forensic Epidemiology and the Rigorous EvaluatioN of Causation Elements) approach to causal inference in forensic medicine. </w:t>
      </w:r>
      <w:r>
        <w:rPr>
          <w:rFonts/>
          <w:i w:val="true"/>
        </w:rPr>
        <w:t xml:space="preserve">Int J Environ Res Public Health</w:t>
      </w:r>
      <w:r>
        <w:t xml:space="preserve"> 2020;17:8353; doi:10.3390/ijerph17228353</w:t>
      </w:r>
    </w:p>
    <w:p>
      <w:pPr>
        <w:pStyle w:val="Normal"/>
      </w:pPr>
    </w:p>
    <w:p>
      <w:pPr>
        <w:pStyle w:val="Bibliography"/>
      </w:pPr>
      <w:r>
        <w:t xml:space="preserve">Dianita Ika Melia P, Freeman MD, Herkutanto H, Zeeger MP. A review of causal inference in forensic medicine. </w:t>
      </w:r>
      <w:r>
        <w:rPr>
          <w:rFonts/>
          <w:i w:val="true"/>
        </w:rPr>
        <w:t xml:space="preserve">For Sci Med Path</w:t>
      </w:r>
      <w:r>
        <w:t xml:space="preserve"> 2020:doi.org/10.1007/s12024-020-00220-9.</w:t>
      </w:r>
    </w:p>
    <w:p>
      <w:pPr>
        <w:pStyle w:val="Normal"/>
      </w:pPr>
    </w:p>
    <w:p>
      <w:pPr>
        <w:pStyle w:val="Bibliography"/>
      </w:pPr>
      <w:r>
        <w:t xml:space="preserve">Freeman MD. A practicable and systematic approach to medicolegal causation. </w:t>
      </w:r>
      <w:r>
        <w:rPr>
          <w:rFonts/>
          <w:i w:val="true"/>
        </w:rPr>
        <w:t xml:space="preserve">Orthopedics</w:t>
      </w:r>
      <w:r>
        <w:t xml:space="preserve"> 2018;41(2):70-2.</w:t>
      </w:r>
    </w:p>
    <w:p>
      <w:pPr>
        <w:pStyle w:val="Normal"/>
      </w:pPr>
    </w:p>
    <w:p>
      <w:pPr>
        <w:pStyle w:val="Bibliography"/>
      </w:pPr>
      <w:r>
        <w:t xml:space="preserve">Freeman MD, Zeegers M. Principles and applications of forensic epidemiology in the medicolegal setting. </w:t>
      </w:r>
      <w:r>
        <w:rPr>
          <w:rFonts/>
          <w:i w:val="true"/>
        </w:rPr>
        <w:t xml:space="preserve">Law, Probability, &amp; Risk</w:t>
      </w:r>
      <w:r>
        <w:t xml:space="preserve"> 2015; doi:10.1093/lpr/mgv010.</w:t>
      </w:r>
    </w:p>
    <w:p>
      <w:pPr>
        <w:pStyle w:val="Normal"/>
      </w:pPr>
    </w:p>
    <w:p>
      <w:pPr>
        <w:pStyle w:val="Bibliography"/>
      </w:pPr>
      <w:r>
        <w:t xml:space="preserve">Freeman MD. Medicolegal causation analysis of a lumbar spine fracture following a low speed rear impact traffic crash. </w:t>
      </w:r>
      <w:r>
        <w:rPr>
          <w:rFonts/>
          <w:i w:val="true"/>
        </w:rPr>
        <w:t xml:space="preserve">J Case Rep Prac</w:t>
      </w:r>
      <w:r>
        <w:t xml:space="preserve"> 2015; 3(2): 23-29.</w:t>
      </w:r>
    </w:p>
    <w:p>
      <w:pPr>
        <w:pStyle w:val="Normal"/>
      </w:pPr>
    </w:p>
    <w:p>
      <w:pPr>
        <w:pStyle w:val="Bibliography"/>
      </w:pPr>
      <w:r>
        <w:t xml:space="preserve">Freeman MD, Cahn PJ, Franklin FA. Applied forensic epidemiology. Part 1: medical negligence. </w:t>
      </w:r>
      <w:r>
        <w:rPr>
          <w:rFonts/>
          <w:i w:val="true"/>
        </w:rPr>
        <w:t xml:space="preserve">OA Epidemiology</w:t>
      </w:r>
      <w:r>
        <w:t xml:space="preserve"> 2014;2(1):2.</w:t>
      </w:r>
    </w:p>
    <w:p>
      <w:pPr>
        <w:pStyle w:val="Normal"/>
      </w:pPr>
    </w:p>
    <w:p>
      <w:pPr>
        <w:pStyle w:val="Bibliography"/>
      </w:pPr>
      <w:r>
        <w:t xml:space="preserve">Koehler S, Freeman MD. Forensic epidemiology; a methodology for investigating and quantifying specific causation. </w:t>
      </w:r>
      <w:r>
        <w:rPr>
          <w:rFonts/>
          <w:i w:val="true"/>
        </w:rPr>
        <w:t xml:space="preserve">Forens Sci Med Path</w:t>
      </w:r>
      <w:r>
        <w:t xml:space="preserve"> 2014 Jun;10(2):217-22.</w:t>
      </w:r>
    </w:p>
    <w:p>
      <w:pPr>
        <w:pStyle w:val="Normal"/>
      </w:pPr>
    </w:p>
    <w:p>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rFonts/>
          <w:i w:val="true"/>
        </w:rPr>
        <w:t xml:space="preserve">Int J Occ Env Hlth</w:t>
      </w:r>
      <w:r>
        <w:t xml:space="preserve"> 2012;18(4):329-36.</w:t>
      </w:r>
    </w:p>
    <w:p>
      <w:pPr>
        <w:pStyle w:val="Normal"/>
      </w:pPr>
    </w:p>
    <w:p>
      <w:pPr>
        <w:pStyle w:val="Bibliography"/>
      </w:pPr>
      <w:r>
        <w:t xml:space="preserve">Freeman MD, Everson T, Kohles SS. Forensic epidemiologic and biomechanical analysis of a pelvic cavity blowout injury associated with ejection from a personal watercraft (jet-ski). </w:t>
      </w:r>
      <w:r>
        <w:rPr>
          <w:rFonts/>
          <w:i w:val="true"/>
        </w:rPr>
        <w:t xml:space="preserve">J Forens Sci</w:t>
      </w:r>
      <w:r>
        <w:t xml:space="preserve"> 2012 doi: 10.1111/j.1556-4029.2012.02250.x</w:t>
      </w:r>
    </w:p>
    <w:p>
      <w:pPr>
        <w:pStyle w:val="Normal"/>
      </w:pPr>
    </w:p>
    <w:p>
      <w:pPr>
        <w:pStyle w:val="Bibliography"/>
      </w:pPr>
      <w:r>
        <w:t xml:space="preserve">Freeman MD, Kohles SS. Plasma levels of polychlorinated biphenyls, non-Hodgkin lymphoma, and causation. </w:t>
      </w:r>
      <w:r>
        <w:rPr>
          <w:rFonts/>
          <w:i w:val="true"/>
        </w:rPr>
        <w:t xml:space="preserve">J Environ Public Health</w:t>
      </w:r>
      <w:r>
        <w:t xml:space="preserve"> 2012;2012:258981. doi: 10.1155/2012/258981. Review.</w:t>
      </w:r>
    </w:p>
    <w:p>
      <w:pPr>
        <w:pStyle w:val="Normal"/>
      </w:pPr>
    </w:p>
    <w:p>
      <w:pPr>
        <w:pStyle w:val="Bibliography"/>
      </w:pPr>
      <w:r>
        <w:t xml:space="preserve">Freeman MD, Kohles SS. Application of the Hill Criteria to the Causal Association of Post-Traumatic Headache and Assault. </w:t>
      </w:r>
      <w:r>
        <w:rPr>
          <w:rFonts/>
          <w:i w:val="true"/>
        </w:rPr>
        <w:t xml:space="preserve">Egypt J Forensic Sci</w:t>
      </w:r>
      <w:r>
        <w:t xml:space="preserve"> 2011;1:35-40.</w:t>
      </w:r>
    </w:p>
    <w:p>
      <w:pPr>
        <w:pStyle w:val="Normal"/>
      </w:pPr>
    </w:p>
    <w:p>
      <w:pPr>
        <w:pStyle w:val="Bibliography"/>
      </w:pPr>
      <w:r>
        <w:t xml:space="preserve">Freeman MD, Kohles SS. Application of the Bradford-Hill Criteria for Assessing Specific Causation in Post-Traumatic Headache. </w:t>
      </w:r>
      <w:r>
        <w:rPr>
          <w:rFonts/>
          <w:i w:val="true"/>
        </w:rPr>
        <w:t xml:space="preserve">Brain Inj Prof</w:t>
      </w:r>
      <w:r>
        <w:t xml:space="preserve"> 2011;8(1):26-8.</w:t>
      </w:r>
    </w:p>
    <w:p>
      <w:pPr>
        <w:pStyle w:val="Normal"/>
      </w:pPr>
    </w:p>
    <w:p>
      <w:pPr>
        <w:pStyle w:val="Bibliography"/>
      </w:pPr>
      <w:r>
        <w:t xml:space="preserve">Freeman MD, Kohles SS. An Evaluation of Applied Biomechanics as an adjunct to systematic specific causation in forensic medicine. </w:t>
      </w:r>
      <w:r>
        <w:rPr>
          <w:rFonts/>
          <w:i w:val="true"/>
        </w:rPr>
        <w:t xml:space="preserve">Wien Med Wochenschr</w:t>
      </w:r>
      <w:r>
        <w:t xml:space="preserve"> 2011;161:1-11.</w:t>
      </w:r>
    </w:p>
    <w:p>
      <w:pPr>
        <w:pStyle w:val="Normal"/>
      </w:pPr>
    </w:p>
    <w:p>
      <w:pPr>
        <w:pStyle w:val="Bibliography"/>
      </w:pPr>
      <w:r>
        <w:t xml:space="preserve">Freeman MD, Centeno CJ, Kohles SS. A systematic approach to clinical determinations of causation in symptomatic spinal disc injury following motor vehicle crash trauma. </w:t>
      </w:r>
      <w:r>
        <w:rPr>
          <w:rFonts/>
          <w:i w:val="true"/>
        </w:rPr>
        <w:t xml:space="preserve">PM R</w:t>
      </w:r>
      <w:r>
        <w:t xml:space="preserve"> 2009;1(10):951-6.</w:t>
      </w:r>
    </w:p>
    <w:p>
      <w:pPr>
        <w:pStyle w:val="Normal"/>
      </w:pPr>
    </w:p>
    <w:p>
      <w:pPr>
        <w:pStyle w:val="Bibliography"/>
      </w:pPr>
      <w:r>
        <w:t xml:space="preserve">Freeman MD, Rossignol AC, Hand M. Forensic Epidemiology: A systematic approach to probabilistic determinations in disputed matters. </w:t>
      </w:r>
      <w:r>
        <w:rPr>
          <w:rFonts/>
          <w:i w:val="true"/>
        </w:rPr>
        <w:t xml:space="preserve">J Forensic Legal Med</w:t>
      </w:r>
      <w:r>
        <w:t xml:space="preserve"> 2008;15(5):281-90.</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97C31" w14:textId="77777777" w:rsidR="00203CDF" w:rsidRDefault="00203CDF" w:rsidP="00D10DDB">
      <w:r>
        <w:separator/>
      </w:r>
    </w:p>
  </w:endnote>
  <w:endnote w:type="continuationSeparator" w:id="0">
    <w:p w14:paraId="167B13E3" w14:textId="77777777" w:rsidR="00203CDF" w:rsidRDefault="00203CDF"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8C26C" w14:textId="77777777" w:rsidR="00203CDF" w:rsidRDefault="00203CDF" w:rsidP="00D10DDB">
      <w:r>
        <w:separator/>
      </w:r>
    </w:p>
  </w:footnote>
  <w:footnote w:type="continuationSeparator" w:id="0">
    <w:p w14:paraId="79D0B189" w14:textId="77777777" w:rsidR="00203CDF" w:rsidRDefault="00203CDF"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doi:https://doi.org/10.1016/j.aap.2020.105571.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1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Neck Pain: A Systematic Review and Meta-Analysis. PM R. 2019 Apr 25. doi: 10.1002/pmrj.12173.</w:t>
      </w:r>
    </w:p>
  </w:footnote>
  <w:footnote w:id="1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back pain: A systematic review and meta-analysis. Accid Analysis Prev 2020: https://doi.org/10.1016/j.aap.2020.105546</w:t>
      </w:r>
    </w:p>
  </w:footnote>
  <w:footnote w:id="2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Todd Schroeder,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Norman Brown; Norman Norman et al. v Keith Rhymer, et al., Case No: 2:23-cv-02426, United States District Court for the Southern District of Ohio Eastern Division</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June 27, 2024</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5"/>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65282"/>
    <w:pPr>
      <w:spacing w:line="240" w:lineRule="auto"/>
    </w:pPr>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1.docx"/>
<Relationship Id="rId16" Type="http://schemas.openxmlformats.org/officeDocument/2006/relationships/aFChunk" Target=".//med_hx2.docx"/>
<Relationship Id="rId17" Type="http://schemas.openxmlformats.org/officeDocument/2006/relationships/aFChunk" Target=".//med_hx_docs_reviewed1.docx"/>
<Relationship Id="rId18" Type="http://schemas.openxmlformats.org/officeDocument/2006/relationships/aFChunk" Target=".//med_hx_docs_reviewed2.docx"/>
<Relationship Id="rId19" Type="http://schemas.openxmlformats.org/officeDocument/2006/relationships/aFChunk" Target=".//docs_reviewed.docx"/>
<Relationship Id="rId20" Type="http://schemas.openxmlformats.org/officeDocument/2006/relationships/aFChunk" Target=".//reconstruction.docx"/>
<Relationship Id="rId21" Type="http://schemas.openxmlformats.org/officeDocument/2006/relationships/aFChunk" Target=".//analysis.docx"/>
<Relationship Id="rId22" Type="http://schemas.openxmlformats.org/officeDocument/2006/relationships/image" Target="media/b84fc1c076afae82d3ecba579d5756d4afb4bb02.png"/>
<Relationship Id="rId23" Type="http://schemas.openxmlformats.org/officeDocument/2006/relationships/image" Target="media/16f99abd7378702ba0f255ed86b4ca81608b825a.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74</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41</cp:revision>
  <dcterms:created xsi:type="dcterms:W3CDTF">2024-02-16T14:30:00Z</dcterms:created>
  <dcterms:modified xsi:type="dcterms:W3CDTF">2024-06-27T11:48:10Z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