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b w:val="true"/>
          <w:u w:val="single"/>
        </w:rPr>
        <w:t xml:space="preserve">Conclusions</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2377440" cy="670401"/>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33020" cy="9311"/>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More probable alternative explanations are often intervening traumatic events that alter the clinical history in a substantive way.</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Bibliography"/>
      </w:pPr>
      <w:r>
        <w:t xml:space="preserve">Freeman MD. A practicable and systematic approach to medicolegal causation. </w:t>
      </w:r>
      <w:r>
        <w:rPr>
          <w:rFonts/>
          <w:i w:val="true"/>
        </w:rPr>
        <w:t xml:space="preserve">Orthopedics</w:t>
      </w:r>
      <w:r>
        <w:t xml:space="preserve"> 2018;41(2):70-2.</w:t>
      </w: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75E00" w14:textId="77777777" w:rsidR="005E2D02" w:rsidRDefault="005E2D02" w:rsidP="00D10DDB">
      <w:r>
        <w:separator/>
      </w:r>
    </w:p>
  </w:endnote>
  <w:endnote w:type="continuationSeparator" w:id="0">
    <w:p w14:paraId="2E50F762" w14:textId="77777777" w:rsidR="005E2D02" w:rsidRDefault="005E2D02"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87592" w14:textId="77777777" w:rsidR="005E2D02" w:rsidRDefault="005E2D02" w:rsidP="00D10DDB">
      <w:r>
        <w:separator/>
      </w:r>
    </w:p>
  </w:footnote>
  <w:footnote w:type="continuationSeparator" w:id="0">
    <w:p w14:paraId="1C71AED8" w14:textId="77777777" w:rsidR="005E2D02" w:rsidRDefault="005E2D02"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1B5F9F"/>
    <w:pPr>
      <w:spacing w:after="120" w:line="240" w:lineRule="auto"/>
      <w:ind w:left="714" w:hanging="357"/>
      <w:contextualSpacing w:val="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46</cp:revision>
  <dcterms:created xsi:type="dcterms:W3CDTF">2024-02-16T14:30:00Z</dcterms:created>
  <dcterms:modified xsi:type="dcterms:W3CDTF">2024-06-27T13:40:47Z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