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香港保诚重疾险与内地三大保险公司</w:t>
        <w:br/>
        <w:t>重疾险产品对比分析报告</w:t>
      </w:r>
    </w:p>
    <w:p/>
    <w:p>
      <w:pPr>
        <w:jc w:val="center"/>
      </w:pPr>
      <w:r>
        <w:rPr>
          <w:rFonts w:ascii="Microsoft YaHei" w:hAnsi="Microsoft YaHei" w:eastAsia="Microsoft YaHei"/>
          <w:color w:val="595959"/>
          <w:sz w:val="24"/>
        </w:rPr>
        <w:t>产品范围：香港保诚 CIM3/BCIM3（诚保一生）</w:t>
        <w:br/>
        <w:t>对比对象：中国人寿康宁尊享、中国太保蓝鲸1号、中国平安盛世福</w:t>
      </w:r>
    </w:p>
    <w:p/>
    <w:p/>
    <w:p>
      <w:pPr>
        <w:jc w:val="center"/>
      </w:pPr>
      <w:r>
        <w:rPr>
          <w:rFonts w:ascii="Microsoft YaHei" w:hAnsi="Microsoft YaHei" w:eastAsia="Microsoft YaHei"/>
          <w:sz w:val="22"/>
        </w:rPr>
        <w:t>报告日期：2026年08月20日</w:t>
      </w:r>
    </w:p>
    <w:p>
      <w:r>
        <w:br w:type="page"/>
      </w:r>
    </w:p>
    <w:p>
      <w:pPr>
        <w:pStyle w:val="Heading1"/>
        <w:jc w:val="left"/>
      </w:pPr>
      <w:r>
        <w:rPr>
          <w:rFonts w:ascii="Microsoft YaHei" w:hAnsi="Microsoft YaHei" w:eastAsia="Microsoft YaHei"/>
        </w:rPr>
        <w:t>报告摘要</w:t>
      </w:r>
    </w:p>
    <w:p>
      <w:pPr>
        <w:jc w:val="left"/>
      </w:pPr>
      <w:r>
        <w:rPr>
          <w:rFonts w:ascii="Microsoft YaHei" w:hAnsi="Microsoft YaHei" w:eastAsia="Microsoft YaHei"/>
          <w:b w:val="0"/>
          <w:sz w:val="21"/>
        </w:rPr>
        <w:t>本报告针对香港保诚「诚保一生」危疾保（CIM3/BCIM3）与内地三大保险公司（中国人寿、中国太保、中国平安）当前主力重疾险产品进行系统性对比。对比维度涵盖保障范围、赔付设计、特色责任、价格水平、理赔便利性、医院要求及适合人群。</w:t>
      </w:r>
    </w:p>
    <w:p>
      <w:pPr>
        <w:jc w:val="left"/>
      </w:pPr>
      <w:r>
        <w:rPr>
          <w:rFonts w:ascii="Microsoft YaHei" w:hAnsi="Microsoft YaHei" w:eastAsia="Microsoft YaHei"/>
          <w:b w:val="0"/>
          <w:sz w:val="21"/>
        </w:rPr>
        <w:t>核心结论：保诚产品在疾病定义宽松度、多次赔付总额、储蓄分红潜力方面具有明显优势，更适合有美元资产配置需求、追求长期高杠杆保障的客户；内地产品在理赔便利性、医院范围、本地服务响应方面更优，适合看重即时赔付体验和人民币保单确定性的客户。</w:t>
      </w:r>
    </w:p>
    <w:p>
      <w:pPr>
        <w:pStyle w:val="Heading1"/>
        <w:jc w:val="left"/>
      </w:pPr>
      <w:r>
        <w:rPr>
          <w:rFonts w:ascii="Microsoft YaHei" w:hAnsi="Microsoft YaHei" w:eastAsia="Microsoft YaHei"/>
        </w:rPr>
        <w:t>一、产品概览</w:t>
      </w:r>
    </w:p>
    <w:p>
      <w:pPr>
        <w:jc w:val="left"/>
      </w:pPr>
      <w:r>
        <w:rPr>
          <w:rFonts w:ascii="Microsoft YaHei" w:hAnsi="Microsoft YaHei" w:eastAsia="Microsoft YaHei"/>
          <w:b/>
          <w:sz w:val="21"/>
        </w:rPr>
        <w:t>表1 参与对比的产品基本信息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产品名称</w:t>
            </w:r>
          </w:p>
        </w:tc>
        <w:tc>
          <w:tcPr>
            <w:tcW w:type="dxa" w:w="1728"/>
            <w:vAlign w:val="center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保险公司</w:t>
            </w:r>
          </w:p>
        </w:tc>
        <w:tc>
          <w:tcPr>
            <w:tcW w:type="dxa" w:w="1728"/>
            <w:vAlign w:val="center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产品定位</w:t>
            </w:r>
          </w:p>
        </w:tc>
        <w:tc>
          <w:tcPr>
            <w:tcW w:type="dxa" w:w="1728"/>
            <w:vAlign w:val="center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重疾种类</w:t>
            </w:r>
          </w:p>
        </w:tc>
        <w:tc>
          <w:tcPr>
            <w:tcW w:type="dxa" w:w="1728"/>
            <w:vAlign w:val="center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核心卖点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诚保一生 CIM3/BCIM3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香港保诚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香港分红型终身危疾险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56种严重疾病+127种病况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多次赔付可达保额1000%、老年疾病年金、美元资产配置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康宁尊享 2024/2025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中国人寿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内地终身重疾险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120种重疾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品牌网点多、可选重疾多次赔、现金价值高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蓝鲸1号终身重疾险 2026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中国太保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互联网终身重疾险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120种重疾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可选重疾2-3次赔、55岁后额外赔30%、ICU关爱金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盛世福 2025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中国平安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内地终身重疾险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120种重疾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运动涨保额、平安RUN健康管理、15种少儿特疾</w:t>
            </w:r>
          </w:p>
        </w:tc>
      </w:tr>
    </w:tbl>
    <w:p>
      <w:pPr>
        <w:pStyle w:val="Heading1"/>
        <w:jc w:val="left"/>
      </w:pPr>
      <w:r>
        <w:rPr>
          <w:rFonts w:ascii="Microsoft YaHei" w:hAnsi="Microsoft YaHei" w:eastAsia="Microsoft YaHei"/>
        </w:rPr>
        <w:t>二、核心维度对比</w:t>
      </w:r>
    </w:p>
    <w:p>
      <w:pPr>
        <w:jc w:val="left"/>
      </w:pPr>
      <w:r>
        <w:rPr>
          <w:rFonts w:ascii="Microsoft YaHei" w:hAnsi="Microsoft YaHei" w:eastAsia="Microsoft YaHei"/>
          <w:b/>
          <w:sz w:val="21"/>
        </w:rPr>
        <w:t>表2 基础保障责任对比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对比维度</w:t>
            </w:r>
          </w:p>
        </w:tc>
        <w:tc>
          <w:tcPr>
            <w:tcW w:type="dxa" w:w="1728"/>
            <w:vAlign w:val="center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保诚 CIM3/BCIM3</w:t>
            </w:r>
          </w:p>
        </w:tc>
        <w:tc>
          <w:tcPr>
            <w:tcW w:type="dxa" w:w="1728"/>
            <w:vAlign w:val="center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国寿康宁尊享</w:t>
            </w:r>
          </w:p>
        </w:tc>
        <w:tc>
          <w:tcPr>
            <w:tcW w:type="dxa" w:w="1728"/>
            <w:vAlign w:val="center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太保蓝鲸1号</w:t>
            </w:r>
          </w:p>
        </w:tc>
        <w:tc>
          <w:tcPr>
            <w:tcW w:type="dxa" w:w="1728"/>
            <w:vAlign w:val="center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平安盛世福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重疾赔付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首次100%保额；癌症/心脏病/中风等可多次赔付，总额最高达保额1000%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单次100%（可选分组6组额外5次）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单次100%（可选不分组2-3次，第二次120%）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单次100%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中症保障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早期严重疾病/深切治疗等分层赔付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20种中症，2次，每次50%（可选）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20种中症，2次，每次60%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20种中症，1次，50%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轻症保障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部分早期病况按轻症定义赔付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40种轻症，6次，每次20%（可选）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40/50种轻症，3次，每次30%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40种轻症，最多6次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少儿特疾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提供母婴版BCIM3，孕期可投保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15种少儿特疾额外100%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可选少儿特疾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15种少儿特疾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特色责任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老年疾病年金（脑退化/柏金逊每年6%）、危疾后人寿延伸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癌症单独分组、投保人豁免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55岁后重疾额外30%、ICU住院关爱金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运动达标涨保额、健康管理服务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币种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美元/港币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人民币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人民币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人民币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分红类型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非保证分红，保额可增长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固定保额（部分分红型除外）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固定保额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固定保额</w:t>
            </w:r>
          </w:p>
        </w:tc>
      </w:tr>
    </w:tbl>
    <w:p>
      <w:pPr>
        <w:jc w:val="left"/>
      </w:pPr>
      <w:r>
        <w:rPr>
          <w:rFonts w:ascii="Microsoft YaHei" w:hAnsi="Microsoft YaHei" w:eastAsia="Microsoft YaHei"/>
          <w:b/>
          <w:sz w:val="21"/>
        </w:rPr>
        <w:t>表3 理赔与医院要求对比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对比维度</w:t>
            </w:r>
          </w:p>
        </w:tc>
        <w:tc>
          <w:tcPr>
            <w:tcW w:type="dxa" w:w="1728"/>
            <w:vAlign w:val="center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保诚 CIM3/BCIM3</w:t>
            </w:r>
          </w:p>
        </w:tc>
        <w:tc>
          <w:tcPr>
            <w:tcW w:type="dxa" w:w="1728"/>
            <w:vAlign w:val="center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国寿康宁尊享</w:t>
            </w:r>
          </w:p>
        </w:tc>
        <w:tc>
          <w:tcPr>
            <w:tcW w:type="dxa" w:w="1728"/>
            <w:vAlign w:val="center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太保蓝鲸1号</w:t>
            </w:r>
          </w:p>
        </w:tc>
        <w:tc>
          <w:tcPr>
            <w:tcW w:type="dxa" w:w="1728"/>
            <w:vAlign w:val="center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平安盛世福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内地医院要求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需在三级医院或15个指定城市二级医院/指定名单医院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二级及以上公立医院通常即可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二级及以上公立医院通常即可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二级及以上公立医院通常即可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医生要求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理赔申请书第二部分须由主诊医生填写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按内地理赔流程，通常无需医生填写专门表格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按内地理赔流程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按内地理赔流程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理赔地点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材料寄送香港，审核周期相对较长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内地APP/线上理赔，流程快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内地APP/线上理赔，流程快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内地APP/线上理赔，流程快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疾病定义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相对宽松（如中风不要求180天后遗留障碍）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遵循内地重疾定义规范，相对严格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遵循内地重疾定义规范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遵循内地重疾定义规范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健康告知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严格/无限告知，投保前就诊记录影响大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有限告知，按问卷回答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有限告知，按问卷回答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有限告知，按问卷回答</w:t>
            </w:r>
          </w:p>
        </w:tc>
      </w:tr>
    </w:tbl>
    <w:p>
      <w:pPr>
        <w:pStyle w:val="Heading1"/>
        <w:jc w:val="left"/>
      </w:pPr>
      <w:r>
        <w:rPr>
          <w:rFonts w:ascii="Microsoft YaHei" w:hAnsi="Microsoft YaHei" w:eastAsia="Microsoft YaHei"/>
        </w:rPr>
        <w:t>三、不同场景下的保单保障分析</w:t>
      </w:r>
    </w:p>
    <w:p>
      <w:pPr>
        <w:jc w:val="left"/>
      </w:pPr>
      <w:r>
        <w:rPr>
          <w:rFonts w:ascii="Microsoft YaHei" w:hAnsi="Microsoft YaHei" w:eastAsia="Microsoft YaHei"/>
          <w:b/>
          <w:sz w:val="21"/>
        </w:rPr>
        <w:t>表4 典型理赔场景下的给付差异（以30岁男性、50万保额为例）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理赔场景</w:t>
            </w:r>
          </w:p>
        </w:tc>
        <w:tc>
          <w:tcPr>
            <w:tcW w:type="dxa" w:w="1728"/>
            <w:vAlign w:val="center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保诚 CIM3/BCIM3</w:t>
            </w:r>
          </w:p>
        </w:tc>
        <w:tc>
          <w:tcPr>
            <w:tcW w:type="dxa" w:w="1728"/>
            <w:vAlign w:val="center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国寿康宁尊享</w:t>
            </w:r>
          </w:p>
        </w:tc>
        <w:tc>
          <w:tcPr>
            <w:tcW w:type="dxa" w:w="1728"/>
            <w:vAlign w:val="center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太保蓝鲸1号</w:t>
            </w:r>
          </w:p>
        </w:tc>
        <w:tc>
          <w:tcPr>
            <w:tcW w:type="dxa" w:w="1728"/>
            <w:vAlign w:val="center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平安盛世福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首次确诊癌症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赔付50万，保单继续有效（多重危疾保障启动）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赔付50万，基础保单终止（未选多次赔）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赔付50万，可选继续有效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赔付50万，保单终止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3年后癌症复发/转移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可再次赔付，最高累计癌症赔付可达200%保额（100万）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基础责任不赔；若选多次赔需跨组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若选二次重疾可赔60万（其他重疾120%）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不赔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确诊急性心梗后1年脑中风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可分别按心脏病、脑部疾病各赔付，累计可达高额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若选多次赔且分在不同组可赔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若选二次重疾可赔60万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不赔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60岁后确诊脑退化/柏金逊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确诊1年后每年给付6%保额（3万/年），终身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不额外给付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不额外给付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不额外给付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确诊轻症（如原位癌）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按早期病况赔付部分保额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赔付10万（20%×50万）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赔付15万（30%×50万）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按合同约定比例赔付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未理赔身故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赔付保额+分红累积（非保证）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赔付max（保额，1.05×保费，现金价值）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按所选方案赔付保费或保额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赔付保额</w:t>
            </w:r>
          </w:p>
        </w:tc>
      </w:tr>
    </w:tbl>
    <w:p>
      <w:pPr>
        <w:pStyle w:val="Heading2"/>
        <w:jc w:val="left"/>
      </w:pPr>
      <w:r>
        <w:rPr>
          <w:rFonts w:ascii="Microsoft YaHei" w:hAnsi="Microsoft YaHei" w:eastAsia="Microsoft YaHei"/>
        </w:rPr>
        <w:t>3.1 高杠杆多次赔付场景</w:t>
      </w:r>
    </w:p>
    <w:p>
      <w:pPr>
        <w:jc w:val="left"/>
      </w:pPr>
      <w:r>
        <w:rPr>
          <w:rFonts w:ascii="Microsoft YaHei" w:hAnsi="Microsoft YaHei" w:eastAsia="Microsoft YaHei"/>
          <w:b w:val="0"/>
          <w:sz w:val="21"/>
        </w:rPr>
        <w:t>保诚 CIM3/BCIM3 在多次赔付设计上最为激进：癌症、心脏病发作、中风各最高可赔付200%保额，其他严重疾病及器官疾病也有较高多次赔付空间，总额理论上可达保额1000%。这对有家族病史、担忧多次重疾发生的客户具有显著吸引力。</w:t>
      </w:r>
    </w:p>
    <w:p>
      <w:pPr>
        <w:pStyle w:val="Heading2"/>
        <w:jc w:val="left"/>
      </w:pPr>
      <w:r>
        <w:rPr>
          <w:rFonts w:ascii="Microsoft YaHei" w:hAnsi="Microsoft YaHei" w:eastAsia="Microsoft YaHei"/>
        </w:rPr>
        <w:t>3.2 早期干预场景</w:t>
      </w:r>
    </w:p>
    <w:p>
      <w:pPr>
        <w:jc w:val="left"/>
      </w:pPr>
      <w:r>
        <w:rPr>
          <w:rFonts w:ascii="Microsoft YaHei" w:hAnsi="Microsoft YaHei" w:eastAsia="Microsoft YaHei"/>
          <w:b w:val="0"/>
          <w:sz w:val="21"/>
        </w:rPr>
        <w:t>内地产品在轻症/中症赔付比例上更高：太保蓝鲸1号轻症30%、中症60%均优于国寿康宁尊享的20%/50%。这意味着在疾病早期阶段，内地产品能提供更高比例的现金流，帮助客户及时治疗。</w:t>
      </w:r>
    </w:p>
    <w:p>
      <w:pPr>
        <w:pStyle w:val="Heading2"/>
        <w:jc w:val="left"/>
      </w:pPr>
      <w:r>
        <w:rPr>
          <w:rFonts w:ascii="Microsoft YaHei" w:hAnsi="Microsoft YaHei" w:eastAsia="Microsoft YaHei"/>
        </w:rPr>
        <w:t>3.3 养老与长期护理场景</w:t>
      </w:r>
    </w:p>
    <w:p>
      <w:pPr>
        <w:jc w:val="left"/>
      </w:pPr>
      <w:r>
        <w:rPr>
          <w:rFonts w:ascii="Microsoft YaHei" w:hAnsi="Microsoft YaHei" w:eastAsia="Microsoft YaHei"/>
          <w:b w:val="0"/>
          <w:sz w:val="21"/>
        </w:rPr>
        <w:t>保诚独有的「老年疾病终身年金」在确诊严重脑退化症或柏金逊病1年后，每年支付基本保额6%，直至身故。这一设计将重疾险与长期护理需求结合，对长寿风险较高的客户极具价值。</w:t>
      </w:r>
    </w:p>
    <w:p>
      <w:pPr>
        <w:pStyle w:val="Heading1"/>
        <w:jc w:val="left"/>
      </w:pPr>
      <w:r>
        <w:rPr>
          <w:rFonts w:ascii="Microsoft YaHei" w:hAnsi="Microsoft YaHei" w:eastAsia="Microsoft YaHei"/>
        </w:rPr>
        <w:t>四、保诚重疾险内地医院理赔要求</w:t>
      </w:r>
    </w:p>
    <w:p>
      <w:pPr>
        <w:jc w:val="left"/>
      </w:pPr>
      <w:r>
        <w:rPr>
          <w:rFonts w:ascii="Microsoft YaHei" w:hAnsi="Microsoft YaHei" w:eastAsia="Microsoft YaHei"/>
          <w:b w:val="0"/>
          <w:sz w:val="21"/>
        </w:rPr>
        <w:t>根据保诚香港官网披露，在内地就医申请危疾理赔时，需满足以下条件：</w:t>
      </w:r>
    </w:p>
    <w:p>
      <w:pPr>
        <w:jc w:val="left"/>
      </w:pPr>
      <w:r>
        <w:rPr>
          <w:rFonts w:ascii="Microsoft YaHei" w:hAnsi="Microsoft YaHei" w:eastAsia="Microsoft YaHei"/>
          <w:b w:val="0"/>
          <w:sz w:val="21"/>
        </w:rPr>
        <w:t>1. 医院等级：原则上须在内地三级医院；或在15个指定城市的二级医院；或在保诚「中华人民共和国选定医院名单」内医院。</w:t>
      </w:r>
    </w:p>
    <w:p>
      <w:pPr>
        <w:jc w:val="left"/>
      </w:pPr>
      <w:r>
        <w:rPr>
          <w:rFonts w:ascii="Microsoft YaHei" w:hAnsi="Microsoft YaHei" w:eastAsia="Microsoft YaHei"/>
          <w:b w:val="0"/>
          <w:sz w:val="21"/>
        </w:rPr>
        <w:t>2. 指定15个城市：北京、上海、广州、深圳、成都、重庆、杭州、武汉、苏州、西安、南京、长沙、天津、郑州、东莞。</w:t>
      </w:r>
    </w:p>
    <w:p>
      <w:pPr>
        <w:jc w:val="left"/>
      </w:pPr>
      <w:r>
        <w:rPr>
          <w:rFonts w:ascii="Microsoft YaHei" w:hAnsi="Microsoft YaHei" w:eastAsia="Microsoft YaHei"/>
          <w:b w:val="0"/>
          <w:sz w:val="21"/>
        </w:rPr>
        <w:t>3. 医生要求：理赔申请书第二部分必须由主诊医生填写，客户需先自行支付医生填表费用；符合公司规定者可酌情免除。</w:t>
      </w:r>
    </w:p>
    <w:p>
      <w:pPr>
        <w:jc w:val="left"/>
      </w:pPr>
      <w:r>
        <w:rPr>
          <w:rFonts w:ascii="Microsoft YaHei" w:hAnsi="Microsoft YaHei" w:eastAsia="Microsoft YaHei"/>
          <w:b w:val="0"/>
          <w:sz w:val="21"/>
        </w:rPr>
        <w:t>4. 资格核实：保诚会在审核理赔申请时核实该医院资格，建议就医前通过保诚官网或国家卫健委网站查询医院等级。</w:t>
      </w:r>
    </w:p>
    <w:p>
      <w:pPr>
        <w:jc w:val="left"/>
      </w:pPr>
      <w:r>
        <w:rPr>
          <w:rFonts w:ascii="Microsoft YaHei" w:hAnsi="Microsoft YaHei" w:eastAsia="Microsoft YaHei"/>
          <w:b w:val="0"/>
          <w:sz w:val="21"/>
        </w:rPr>
        <w:t>5. 对比提示：内地重疾险通常只需二级及以上公立医院即可理赔，医院范围更广、流程更简化。</w:t>
      </w:r>
    </w:p>
    <w:p>
      <w:pPr>
        <w:pStyle w:val="Heading1"/>
        <w:jc w:val="left"/>
      </w:pPr>
      <w:r>
        <w:rPr>
          <w:rFonts w:ascii="Microsoft YaHei" w:hAnsi="Microsoft YaHei" w:eastAsia="Microsoft YaHei"/>
        </w:rPr>
        <w:t>五、适合人群分析</w:t>
      </w:r>
    </w:p>
    <w:p>
      <w:pPr>
        <w:jc w:val="left"/>
      </w:pPr>
      <w:r>
        <w:rPr>
          <w:rFonts w:ascii="Microsoft YaHei" w:hAnsi="Microsoft YaHei" w:eastAsia="Microsoft YaHei"/>
          <w:b/>
          <w:sz w:val="21"/>
        </w:rPr>
        <w:t>表5 产品适合人群匹配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</w:t>
            </w:r>
          </w:p>
        </w:tc>
        <w:tc>
          <w:tcPr>
            <w:tcW w:type="dxa" w:w="2880"/>
            <w:vAlign w:val="center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最适合人群</w:t>
            </w:r>
          </w:p>
        </w:tc>
        <w:tc>
          <w:tcPr>
            <w:tcW w:type="dxa" w:w="2880"/>
            <w:vAlign w:val="center"/>
            <w:shd w:fill="1F4E79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不太适合人群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保诚 CIM3/BCIM3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有美元资产配置需求；追求多次高杠杆保障；能接受香港理赔流程；健康状况良好；有海外就医或子女留学规划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预算有限；追求理赔便利；健康状况复杂；无法赴港签约或维护保单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国寿康宁尊享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看重品牌与线下服务；偏好稳健现金价值；需要可选重疾多次赔；给孩子投保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追求高性价比；希望轻症赔付比例高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太保蓝鲸1号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年轻家庭；预算有限但希望保额充足；看重互联网投保便利；需要55岁后额外保障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需要强大线下代理人服务；偏好大品牌溢价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平安盛世福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平安老客户；重视健康管理与运动激励；需要少儿特疾保障</w:t>
            </w:r>
          </w:p>
        </w:tc>
        <w:tc>
          <w:tcPr>
            <w:tcW w:type="dxa" w:w="2880"/>
            <w:vAlign w:val="center"/>
          </w:tcPr>
          <w:p>
            <w:r>
              <w:rPr>
                <w:rFonts w:ascii="Microsoft YaHei" w:hAnsi="Microsoft YaHei" w:eastAsia="Microsoft YaHei"/>
                <w:sz w:val="18"/>
              </w:rPr>
              <w:t>追求极致性价比；需要多次重疾保障</w:t>
            </w:r>
          </w:p>
        </w:tc>
      </w:tr>
    </w:tbl>
    <w:p>
      <w:pPr>
        <w:pStyle w:val="Heading1"/>
        <w:jc w:val="left"/>
      </w:pPr>
      <w:r>
        <w:rPr>
          <w:rFonts w:ascii="Microsoft YaHei" w:hAnsi="Microsoft YaHei" w:eastAsia="Microsoft YaHei"/>
        </w:rPr>
        <w:t>六、投保建议与风险提示</w:t>
      </w:r>
    </w:p>
    <w:p>
      <w:pPr>
        <w:pStyle w:val="Heading2"/>
        <w:jc w:val="left"/>
      </w:pPr>
      <w:r>
        <w:rPr>
          <w:rFonts w:ascii="Microsoft YaHei" w:hAnsi="Microsoft YaHei" w:eastAsia="Microsoft YaHei"/>
        </w:rPr>
        <w:t>6.1 投保建议</w:t>
      </w:r>
    </w:p>
    <w:p>
      <w:pPr>
        <w:jc w:val="left"/>
      </w:pPr>
      <w:r>
        <w:rPr>
          <w:rFonts w:ascii="Microsoft YaHei" w:hAnsi="Microsoft YaHei" w:eastAsia="Microsoft YaHei"/>
          <w:b w:val="0"/>
          <w:sz w:val="21"/>
        </w:rPr>
        <w:t>1. 如果客户的核心诉求是「多次重疾高杠杆 + 美元资产 + 长寿护理」，优先考虑保诚 CIM3/BCIM3。</w:t>
      </w:r>
    </w:p>
    <w:p>
      <w:pPr>
        <w:jc w:val="left"/>
      </w:pPr>
      <w:r>
        <w:rPr>
          <w:rFonts w:ascii="Microsoft YaHei" w:hAnsi="Microsoft YaHei" w:eastAsia="Microsoft YaHei"/>
          <w:b w:val="0"/>
          <w:sz w:val="21"/>
        </w:rPr>
        <w:t>2. 如果客户更看重「理赔确定性 + 医院范围广 + 人民币保单」，优先选择内地头部保司产品。</w:t>
      </w:r>
    </w:p>
    <w:p>
      <w:pPr>
        <w:jc w:val="left"/>
      </w:pPr>
      <w:r>
        <w:rPr>
          <w:rFonts w:ascii="Microsoft YaHei" w:hAnsi="Microsoft YaHei" w:eastAsia="Microsoft YaHei"/>
          <w:b w:val="0"/>
          <w:sz w:val="21"/>
        </w:rPr>
        <w:t>3. 预算有限时，太保蓝鲸1号在轻中症比例和可选责任灵活性上更具性价比。</w:t>
      </w:r>
    </w:p>
    <w:p>
      <w:pPr>
        <w:jc w:val="left"/>
      </w:pPr>
      <w:r>
        <w:rPr>
          <w:rFonts w:ascii="Microsoft YaHei" w:hAnsi="Microsoft YaHei" w:eastAsia="Microsoft YaHei"/>
          <w:b w:val="0"/>
          <w:sz w:val="21"/>
        </w:rPr>
        <w:t>4. 已有内地重疾险的客户，可将保诚产品作为「海外保障 + 美元资产」补充，而非完全替代。</w:t>
      </w:r>
    </w:p>
    <w:p>
      <w:pPr>
        <w:pStyle w:val="Heading2"/>
        <w:jc w:val="left"/>
      </w:pPr>
      <w:r>
        <w:rPr>
          <w:rFonts w:ascii="Microsoft YaHei" w:hAnsi="Microsoft YaHei" w:eastAsia="Microsoft YaHei"/>
        </w:rPr>
        <w:t>6.2 风险提示</w:t>
      </w:r>
    </w:p>
    <w:p>
      <w:pPr>
        <w:jc w:val="left"/>
      </w:pPr>
      <w:r>
        <w:rPr>
          <w:rFonts w:ascii="Microsoft YaHei" w:hAnsi="Microsoft YaHei" w:eastAsia="Microsoft YaHei"/>
          <w:b w:val="0"/>
          <w:sz w:val="21"/>
        </w:rPr>
        <w:t>1. 汇率风险：美元/港币保单受汇率波动影响，未来红利和退保价值以保单货币计价。</w:t>
      </w:r>
    </w:p>
    <w:p>
      <w:pPr>
        <w:jc w:val="left"/>
      </w:pPr>
      <w:r>
        <w:rPr>
          <w:rFonts w:ascii="Microsoft YaHei" w:hAnsi="Microsoft YaHei" w:eastAsia="Microsoft YaHei"/>
          <w:b w:val="0"/>
          <w:sz w:val="21"/>
        </w:rPr>
        <w:t>2. 分红不确定性：保诚产品的非保证红利取决于保险公司投资表现，实际收益可能低于演示。</w:t>
      </w:r>
    </w:p>
    <w:p>
      <w:pPr>
        <w:jc w:val="left"/>
      </w:pPr>
      <w:r>
        <w:rPr>
          <w:rFonts w:ascii="Microsoft YaHei" w:hAnsi="Microsoft YaHei" w:eastAsia="Microsoft YaHei"/>
          <w:b w:val="0"/>
          <w:sz w:val="21"/>
        </w:rPr>
        <w:t>3. 理赔时效：香港保险理赔周期通常长于内地，且需邮寄材料、医生配合填表。</w:t>
      </w:r>
    </w:p>
    <w:p>
      <w:pPr>
        <w:jc w:val="left"/>
      </w:pPr>
      <w:r>
        <w:rPr>
          <w:rFonts w:ascii="Microsoft YaHei" w:hAnsi="Microsoft YaHei" w:eastAsia="Microsoft YaHei"/>
          <w:b w:val="0"/>
          <w:sz w:val="21"/>
        </w:rPr>
        <w:t>4. 法律适用：香港保单受香港法律管辖，纠纷需在香港解决，维权成本较高。</w:t>
      </w:r>
    </w:p>
    <w:p>
      <w:pPr>
        <w:jc w:val="left"/>
      </w:pPr>
      <w:r>
        <w:rPr>
          <w:rFonts w:ascii="Microsoft YaHei" w:hAnsi="Microsoft YaHei" w:eastAsia="Microsoft YaHei"/>
          <w:b w:val="0"/>
          <w:sz w:val="21"/>
        </w:rPr>
        <w:t>5. 健康告知：香港保险通常执行更严格的无限告知，投保前就诊记录、体检异常均需如实披露。</w:t>
      </w:r>
    </w:p>
    <w:p>
      <w:pPr>
        <w:pStyle w:val="Heading1"/>
        <w:jc w:val="left"/>
      </w:pPr>
      <w:r>
        <w:rPr>
          <w:rFonts w:ascii="Microsoft YaHei" w:hAnsi="Microsoft YaHei" w:eastAsia="Microsoft YaHei"/>
        </w:rPr>
        <w:t>附录：术语解释</w:t>
      </w:r>
    </w:p>
    <w:p>
      <w:pPr>
        <w:jc w:val="left"/>
      </w:pPr>
      <w:r>
        <w:rPr>
          <w:rFonts w:ascii="Microsoft YaHei" w:hAnsi="Microsoft YaHei" w:eastAsia="Microsoft YaHei"/>
          <w:b w:val="0"/>
          <w:sz w:val="21"/>
        </w:rPr>
        <w:t>CIM3：保诚「诚保一生」危疾保，覆盖严重疾病及早期危疾。</w:t>
      </w:r>
    </w:p>
    <w:p>
      <w:pPr>
        <w:jc w:val="left"/>
      </w:pPr>
      <w:r>
        <w:rPr>
          <w:rFonts w:ascii="Microsoft YaHei" w:hAnsi="Microsoft YaHei" w:eastAsia="Microsoft YaHei"/>
          <w:b w:val="0"/>
          <w:sz w:val="21"/>
        </w:rPr>
        <w:t>BCIM3：诚保一生危疾保—挚爱宝，孕期可投保，保障母婴。</w:t>
      </w:r>
    </w:p>
    <w:p>
      <w:pPr>
        <w:jc w:val="left"/>
      </w:pPr>
      <w:r>
        <w:rPr>
          <w:rFonts w:ascii="Microsoft YaHei" w:hAnsi="Microsoft YaHei" w:eastAsia="Microsoft YaHei"/>
          <w:b w:val="0"/>
          <w:sz w:val="21"/>
        </w:rPr>
        <w:t>危疾：即重大疾病，通常包括癌症、急性心梗、脑中风等。</w:t>
      </w:r>
    </w:p>
    <w:p>
      <w:pPr>
        <w:jc w:val="left"/>
      </w:pPr>
      <w:r>
        <w:rPr>
          <w:rFonts w:ascii="Microsoft YaHei" w:hAnsi="Microsoft YaHei" w:eastAsia="Microsoft YaHei"/>
          <w:b w:val="0"/>
          <w:sz w:val="21"/>
        </w:rPr>
        <w:t>轻症/中症：重大疾病早期或较轻状态，按合同约定比例赔付。</w:t>
      </w:r>
    </w:p>
    <w:p>
      <w:pPr>
        <w:jc w:val="left"/>
      </w:pPr>
      <w:r>
        <w:rPr>
          <w:rFonts w:ascii="Microsoft YaHei" w:hAnsi="Microsoft YaHei" w:eastAsia="Microsoft YaHei"/>
          <w:b w:val="0"/>
          <w:sz w:val="21"/>
        </w:rPr>
        <w:t>保额：保单约定的最高赔付金额。</w:t>
      </w:r>
    </w:p>
    <w:p>
      <w:pPr>
        <w:jc w:val="left"/>
      </w:pPr>
      <w:r>
        <w:rPr>
          <w:rFonts w:ascii="Microsoft YaHei" w:hAnsi="Microsoft YaHei" w:eastAsia="Microsoft YaHei"/>
          <w:b w:val="0"/>
          <w:sz w:val="21"/>
        </w:rPr>
        <w:t>现金价值：退保时可领取的金额，长期重疾险通常随时间增长。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