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line="288"/>
      </w:pPr>
      <w:r>
        <w:t xml:space="preserve">Alo opened in Sydney in 2026 to strong curiosity that has since faded (Appendix A). Sydney women know the name, but do not yet see Alo as worth its price, as a brand for them, or as easy to find. </w:t>
      </w:r>
      <w:r>
        <w:rPr>
          <w:b/>
          <w:bCs/>
        </w:rPr>
        <w:t xml:space="preserve">"Mat to Moment"</w:t>
      </w:r>
      <w:r>
        <w:t xml:space="preserve"> is a 12-week, A$250,000 integrated campaign for style-conscious women aged 22–34. It delivers one message, that one Alo set is made for the whole Sydney day, through every touchpoint, from Bondi Pilates studios to CBD bus shelters.</w:t>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It sells apparel, footwear, accessories, luxury handbags (Alo Atelier) and online classes (Alo Moves) through around 170 stores worldwide (SGB Media, 2026). Its parent company's 2025 sales were estimated at close to US$2 billion (Modaes, 2026), and its owners are reportedly weighing an IPO or sale (Rydzek, 2026), so performance in new markets is under investor scrutiny. Alo opened at Chatswood Chase, opposite Lululemon, in May 2026 (Inside Retail, 2026), then at The Galeries in the CBD in September, with Westfield Bondi Junction planned (Concrete Playground, 2026). Its strength is a premium, fashion-led image built on social media and celebrity visibility (Inside Retail, 2026), at roughly A$100–200 for leggings and bras (Concrete Playground, 2026). Brand equity depends on awareness and favourable associations (Keller, 1993). Alo has both globally, and IMC is the mechanism that converts brand identity into local brand equity (Bryant, 2026f). In Sydney that conversion has barely begun.</w:t>
      </w:r>
    </w:p>
    <w:p>
      <w:pPr>
        <w:pStyle w:val="Heading2"/>
      </w:pPr>
      <w:r>
        <w:t xml:space="preserve">1.2 Competitor Analysis</w:t>
      </w:r>
    </w:p>
    <w:p>
      <w:pPr>
        <w:spacing w:after="160" w:line="288"/>
      </w:pPr>
      <w:r>
        <w:t xml:space="preserve">Table 1 evaluates primary and secondary competitors, and Figure 1 positions them.</w:t>
      </w:r>
    </w:p>
    <w:p>
      <w:pPr>
        <w:keepNext/>
        <w:spacing w:after="40" w:before="200"/>
      </w:pPr>
      <w:r>
        <w:rPr>
          <w:b/>
          <w:bCs/>
        </w:rPr>
        <w:t xml:space="preserve">Table 1</w:t>
      </w:r>
    </w:p>
    <w:p>
      <w:pPr>
        <w:keepNext/>
        <w:spacing w:after="100"/>
      </w:pPr>
      <w:r>
        <w:rPr>
          <w:i/>
          <w:iCs/>
        </w:rPr>
        <w:t xml:space="preserve">Evaluation of Primary and Secondary Competitors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928"/>
        <w:gridCol w:w="2313"/>
        <w:gridCol w:w="2313"/>
        <w:gridCol w:w="1735"/>
      </w:tblGrid>
      <w:tr>
        <w:trPr>
          <w:tblHeader/>
        </w:trPr>
        <w:tc>
          <w:tcPr>
            <w:tcW w:type="dxa" w:w="134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Positioning and price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 and implication</w:t>
            </w:r>
          </w:p>
        </w:tc>
      </w:tr>
      <w:tr>
        <w:tc>
          <w:tcPr>
            <w:tcW w:type="dxa" w:w="9638"/>
            <w:gridSpan w:val="5"/>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Primary competitors</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Lululemon</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performance-led athleisure; marginally cheaper; long established</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Community and ambassador model; leading fabric technology (Salpini, 2025b); ~3× Alo's NSW search interest (Appendix A)</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Seen as "too predictable" and dated (Salpini, 2025b); lost share to Alo and Vuori in 2025 (Salpini, 2025a)</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w:t>
            </w:r>
            <w:r>
              <w:rPr>
                <w:b w:val="false"/>
                <w:bCs w:val="false"/>
                <w:color w:val="1E2A32"/>
                <w:sz w:val="17"/>
                <w:szCs w:val="17"/>
              </w:rPr>
              <w:t xml:space="preserve"> Do not fight on community or price; win on design-led versatility</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Lorna Jane</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Best-known local brand; mid-priced; large store network (Russh, 2026)</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Loyal base; sustainability leadership; Gen Z appeal; profit doubled to A$21.3m (Chadwick, 2025a)</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Trust damaged by A$5m penalty for false "anti-virus" claims (Australian Competition and Consumer Commission [ACCC], 2021); less luxury-positioned</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r>
              <w:rPr>
                <w:b w:val="false"/>
                <w:bCs w:val="false"/>
                <w:color w:val="1E2A32"/>
                <w:sz w:val="17"/>
                <w:szCs w:val="17"/>
              </w:rPr>
              <w:t xml:space="preserve"> Make only claims Alo can prove</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 Nation / Aje Athletica</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Fashion-led Australian brands targeting the same buyer</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design credentials; Aje in 221 countries and 70+ retailers (Chadwick, 2025b)</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Athletica is one of three Aje brands (Chadwick, 2025b)</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r>
              <w:rPr>
                <w:b w:val="false"/>
                <w:bCs w:val="false"/>
                <w:color w:val="1E2A32"/>
                <w:sz w:val="17"/>
                <w:szCs w:val="17"/>
              </w:rPr>
              <w:t xml:space="preserve"> Closest on the map; Alo must add proven performance</w:t>
            </w:r>
          </w:p>
        </w:tc>
      </w:tr>
      <w:tr>
        <w:tc>
          <w:tcPr>
            <w:tcW w:type="dxa" w:w="9638"/>
            <w:gridSpan w:val="5"/>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Secondary competitors</w:t>
            </w:r>
          </w:p>
        </w:tc>
      </w:tr>
      <w:tr>
        <w:trPr>
          <w:cantSplit/>
        </w:trPr>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Mass, performance-led; ~17% and ~10% share (OpenPR, 2026)</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Adidas rose to #2 in global reputation via community and Gen Z (Danziger, 2026)</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Nike fell from #21 to #50; "me, not we" messaging (Danziger, 2026)</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r>
              <w:rPr>
                <w:b w:val="false"/>
                <w:bCs w:val="false"/>
                <w:color w:val="1E2A32"/>
                <w:sz w:val="17"/>
                <w:szCs w:val="17"/>
              </w:rPr>
              <w:t xml:space="preserve"> Compete for wallet share, not the studio occasion</w:t>
            </w:r>
          </w:p>
        </w:tc>
      </w:tr>
      <w:tr>
        <w:trPr>
          <w:cantSplit/>
        </w:trPr>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Cheaper, gym- or community-driven (Pedestrian, 2026)</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Squat-proof fabrics (Gymshark); A$20–60 streetwear styles (LSKD) (Lanoue, 2025)</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Neither is premium (Lanoue, 2025)</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r>
              <w:rPr>
                <w:b w:val="false"/>
                <w:bCs w:val="false"/>
                <w:color w:val="1E2A32"/>
                <w:sz w:val="17"/>
                <w:szCs w:val="17"/>
              </w:rPr>
              <w:t xml:space="preserve"> Down-trading risk if price is not justified</w:t>
            </w:r>
          </w:p>
        </w:tc>
      </w:tr>
    </w:tbl>
    <w:p>
      <w:pPr>
        <w:spacing w:after="160"/>
      </w:pPr>
    </w:p>
    <w:p>
      <w:pPr>
        <w:keepNext/>
        <w:spacing w:after="40" w:before="200"/>
      </w:pPr>
      <w:r>
        <w:rPr>
          <w:b/>
          <w:bCs/>
        </w:rPr>
        <w:t xml:space="preserve">Figure 1</w:t>
      </w:r>
    </w:p>
    <w:p>
      <w:pPr>
        <w:keepNext/>
        <w:spacing w:after="100"/>
      </w:pPr>
      <w:r>
        <w:rPr>
          <w:i/>
          <w:iCs/>
        </w:rPr>
        <w:t xml:space="preserve">Perceptual Positioning Map of the Australian Premium Activewear Market</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Positions are the agency's judgement from the evidence in Table 1 and should be validated with attribute ratings in the pre-campaign survey.</w:t>
      </w:r>
    </w:p>
    <w:p>
      <w:pPr>
        <w:spacing w:after="160" w:line="288"/>
      </w:pPr>
      <w:r>
        <w:t xml:space="preserve">Two conclusions follow. First, Lululemon's search interest in New South Wales is almost three times Alo's (Appendix A), and larger brands enjoy both more buyers and more loyalty (Sharp, 2010). Alo therefore cannot grow by arguing Lululemon loyalists out of their habit; it must become easier to think of and easier to find. Second, competitor weaknesses cluster around functional or dated design (Lululemon, Nike) and mid-market or divided focus (Lorna Jane, Aje Athletica), which leaves premium, design-led, all-day wear unclaimed. Fashion alone is not a defensible difference, because P.E Nation and Aje Athletica sit nearby with local credentials. Fashion plus proven studio performance, made locally relevant, is. Secondary competitors matter more than their positioning suggests: under financial pressure consumers trade down or delay discretionary purchases (Bryant, 2026d), so Gymshark and LSKD become the fallback whenever Alo's premium is not justified.</w:t>
      </w:r>
    </w:p>
    <w:p>
      <w:pPr>
        <w:pStyle w:val="Heading2"/>
      </w:pPr>
      <w:r>
        <w:t xml:space="preserve">1.3 Target Audience</w:t>
      </w:r>
    </w:p>
    <w:p>
      <w:pPr>
        <w:spacing w:after="160" w:line="288"/>
      </w:pPr>
      <w:r>
        <w:t xml:space="preserve">Table 2 evaluates three potential segments (Smith, 1956).</w:t>
      </w:r>
    </w:p>
    <w:p>
      <w:pPr>
        <w:keepNext/>
        <w:spacing w:after="40" w:before="200"/>
      </w:pPr>
      <w:r>
        <w:rPr>
          <w:b/>
          <w:bCs/>
        </w:rPr>
        <w:t xml:space="preserve">Table 2</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 Men and unisex</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gym; daily Instagram and TikTok; older Gen Z and younger Millennials (Bryant, 2026a)</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but small in Alo's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near Chatswood, CBD and Bondi stores; reachable through creators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Responsive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(36Kr,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Risk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Financial pressure (Bryant, 2026a)</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Hard to switch</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Needs separate creative</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160"/>
      </w:pPr>
    </w:p>
    <w:p>
      <w:pPr>
        <w:spacing w:after="160" w:line="288"/>
      </w:pPr>
      <w:r>
        <w:t xml:space="preserve">Segment A is chosen because Alo is bought as identity. Possessions extend the self (Belk, 1988), and Alo already turns a healthy lifestyle into a visible identity (36Kr, 2026). The segment also spans two cohorts that decode messages differently. Older Gen Z value authenticity and live on TikTok and Instagram, while younger Millennials value experiences and convenience and also use streaming and podcasts (Bryant, 2026a). The campaign therefore pairs unpolished creator content with bookable experiences and audio. Social dynamics also matter: messages that align with a group's norms and identity spread further through word of mouth (Bryant, 2026a), and the studio class is Segment A's most visible reference group, which is where the campaign places its sources. Critically, Gen Z is "not one audience" (Bryant, 2026d), and more than half of Gen Z and Millennials have delayed major life decisions because of financial pressure (Bryant, 2026a). The audience most drawn to Alo is also the most price-stretched. This is why price justification is ranked as the first challenge, and why value is framed as longevity rather than discount (Bryant, 2026d).</w:t>
      </w:r>
    </w:p>
    <w:p>
      <w:pPr>
        <w:pStyle w:val="Heading2"/>
      </w:pPr>
      <w:r>
        <w:t xml:space="preserve">1.4 Marketing Communication Challenges</w:t>
      </w:r>
    </w:p>
    <w:p>
      <w:pPr>
        <w:spacing w:after="160" w:line="288"/>
      </w:pPr>
      <w:r>
        <w:t xml:space="preserve">Five challenges emerge, ranked by how directly each blocks store visits:</w:t>
      </w:r>
    </w:p>
    <w:p>
      <w:pPr>
        <w:pStyle w:val="ListParagraph"/>
        <w:numPr>
          <w:ilvl w:val="0"/>
          <w:numId w:val="2"/>
        </w:numPr>
        <w:spacing w:after="100" w:line="288"/>
      </w:pPr>
      <w:r>
        <w:rPr>
          <w:b/>
          <w:bCs/>
        </w:rPr>
        <w:t xml:space="preserve">Justifying the premium price.</w:t>
      </w:r>
      <w:r>
        <w:t xml:space="preserve"> Luxury positioning needs meaning, not feature lists (Kapferer &amp; Bastien, 2009), and a financially pressured audience needs a reason to pay more that it can defend to itself.</w:t>
      </w:r>
    </w:p>
    <w:p>
      <w:pPr>
        <w:pStyle w:val="ListParagraph"/>
        <w:numPr>
          <w:ilvl w:val="0"/>
          <w:numId w:val="2"/>
        </w:numPr>
        <w:spacing w:after="100" w:line="288"/>
      </w:pPr>
      <w:r>
        <w:rPr>
          <w:b/>
          <w:bCs/>
        </w:rPr>
        <w:t xml:space="preserve">Sustaining awareness after launch.</w:t>
      </w:r>
      <w:r>
        <w:t xml:space="preserve"> Search interest has fallen back to roughly pre-opening levels, and The Galeries opening produced no visible lift (Appendix A).</w:t>
      </w:r>
    </w:p>
    <w:p>
      <w:pPr>
        <w:pStyle w:val="ListParagraph"/>
        <w:numPr>
          <w:ilvl w:val="0"/>
          <w:numId w:val="2"/>
        </w:numPr>
        <w:spacing w:after="100" w:line="288"/>
      </w:pPr>
      <w:r>
        <w:rPr>
          <w:b/>
          <w:bCs/>
        </w:rPr>
        <w:t xml:space="preserve">Limited physical reach.</w:t>
      </w:r>
      <w:r>
        <w:t xml:space="preserve"> Two open stores cannot cover Greater Sydney, so media must bring people to them.</w:t>
      </w:r>
    </w:p>
    <w:p>
      <w:pPr>
        <w:pStyle w:val="ListParagraph"/>
        <w:numPr>
          <w:ilvl w:val="0"/>
          <w:numId w:val="2"/>
        </w:numPr>
        <w:spacing w:after="100" w:line="288"/>
      </w:pPr>
      <w:r>
        <w:rPr>
          <w:b/>
          <w:bCs/>
        </w:rPr>
        <w:t xml:space="preserve">Standing apart from Lululemon.</w:t>
      </w:r>
      <w:r>
        <w:t xml:space="preserve"> Lululemon already owns "community" (Salpini, 2025b), so a generic community message would strengthen the leader.</w:t>
      </w:r>
    </w:p>
    <w:p>
      <w:pPr>
        <w:pStyle w:val="ListParagraph"/>
        <w:numPr>
          <w:ilvl w:val="0"/>
          <w:numId w:val="2"/>
        </w:numPr>
        <w:spacing w:after="100" w:line="288"/>
      </w:pPr>
      <w:r>
        <w:rPr>
          <w:b/>
          <w:bCs/>
        </w:rPr>
        <w:t xml:space="preserve">Feeling Australian, not imported.</w:t>
      </w:r>
      <w:r>
        <w:t xml:space="preserve"> Alo's fame rests on Los Angeles celebrity (Inside Retail, 2026), which Section 3.1 shows Sydney decodes as distance.</w:t>
      </w:r>
    </w:p>
    <w:p>
      <w:pPr>
        <w:spacing w:after="60"/>
      </w:pPr>
    </w:p>
    <w:p>
      <w:pPr>
        <w:spacing w:after="160" w:line="288"/>
      </w:pPr>
      <w:r>
        <w:t xml:space="preserve">With A$250,000, the campaign must concentrate on one segment, one city and one message.</w:t>
      </w:r>
    </w:p>
    <w:p>
      <w:pPr>
        <w:pStyle w:val="Heading1"/>
      </w:pPr>
      <w:r>
        <w:t xml:space="preserve">2. Communication Objectives</w:t>
      </w:r>
    </w:p>
    <w:p>
      <w:pPr>
        <w:spacing w:after="160" w:line="288"/>
      </w:pPr>
      <w:r>
        <w:t xml:space="preserve">The objectives follow DAGMAR (Colley, 1961), specifying the task, audience, benchmark, degree of change and time period (Table 3).</w:t>
      </w:r>
    </w:p>
    <w:p>
      <w:pPr>
        <w:keepNext/>
        <w:spacing w:after="40" w:before="200"/>
      </w:pPr>
      <w:r>
        <w:rPr>
          <w:b/>
          <w:bCs/>
        </w:rPr>
        <w:t xml:space="preserve">Table 3</w:t>
      </w:r>
    </w:p>
    <w:p>
      <w:pPr>
        <w:keepNext/>
        <w:spacing w:after="100"/>
      </w:pPr>
      <w:r>
        <w:rPr>
          <w:i/>
          <w:iCs/>
        </w:rPr>
        <w:t xml:space="preserve">DAGMAR Communication Objectives (Segment A, Greater Sydney, 4 January – 28 March 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867"/>
        <w:gridCol w:w="1060"/>
        <w:gridCol w:w="3181"/>
        <w:gridCol w:w="1928"/>
        <w:gridCol w:w="964"/>
        <w:gridCol w:w="963"/>
      </w:tblGrid>
      <w:tr>
        <w:trPr>
          <w:tblHeader/>
        </w:trPr>
        <w:tc>
          <w:tcPr>
            <w:tcW w:type="dxa" w:w="67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86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06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318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 (task and degree of change)</w:t>
            </w:r>
          </w:p>
        </w:tc>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 (est.)</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67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318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Increase agreement that "Alo is worth paying more for" by 15 points</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 strongly agree</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67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318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Increase agreement that Alo "is a brand for people like me in Sydney" by 13 points</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 strongly agree</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67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86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318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Increase awareness that Alo has stores in Sydney by 25 points</w:t>
            </w:r>
          </w:p>
        </w:tc>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Prompted store awareness</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67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86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318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Increase the share who visited an Alo store or website in the past three months by 7 points</w:t>
            </w:r>
          </w:p>
        </w:tc>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Self-reported, checked against store and web data</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240" w:before="60"/>
      </w:pPr>
      <w:r>
        <w:rPr>
          <w:i/>
          <w:iCs/>
          <w:color w:val="5B6770"/>
          <w:sz w:val="19"/>
          <w:szCs w:val="19"/>
        </w:rPr>
        <w:t xml:space="preserve">Note. </w:t>
      </w:r>
      <w:r>
        <w:rPr>
          <w:color w:val="5B6770"/>
          <w:sz w:val="19"/>
          <w:szCs w:val="19"/>
        </w:rPr>
        <w:t xml:space="preserve">Baselines are agency estimates to be confirmed by the December 2026 survey; the point change is retained if they differ.</w:t>
      </w:r>
    </w:p>
    <w:p>
      <w:pPr>
        <w:spacing w:after="160" w:line="288"/>
      </w:pPr>
      <w:r>
        <w:t xml:space="preserve">The response hierarchy models in the course, AIDA and the hierarchy of effects, assume consumers think, then feel, then do (Bryant, 2026k; Lavidge &amp; Steiner, 1961). Figure 2 shows why this campaign deliberately reorders that sequence. Premium activewear is a high-involvement purchase worn in public, so attitude must come before information (Vaughn, 1980). Until Segment A feels Alo is "for people like me", knowing where a store is has no value. The objectives therefore run feel → learn → do. Objective 3 (doubling store awareness) is ambitious, but it is attainable because every paid asset carries the store line and outdoor sites cluster around the store catchments. Two limitations are acknowledged. First, a hierarchy is a planning heuristic, not a law, so all four objectives are tracked at the same time. Second, Alo publishes no Australian tracking data, so baselines are estimates; the pre-campaign survey will confirm them, and the point change will be kept. Visits rather than sales are targeted because price, stock and competitor activity sit outside communication's control (Belch &amp; Belch, 2021).</w:t>
      </w:r>
    </w:p>
    <w:p>
      <w:pPr>
        <w:keepNext/>
        <w:spacing w:after="40" w:before="200"/>
      </w:pPr>
      <w:r>
        <w:rPr>
          <w:b/>
          <w:bCs/>
        </w:rPr>
        <w:t xml:space="preserve">Figure 2</w:t>
      </w:r>
    </w:p>
    <w:p>
      <w:pPr>
        <w:keepNext/>
        <w:spacing w:after="100"/>
      </w:pPr>
      <w:r>
        <w:rPr>
          <w:i/>
          <w:iCs/>
        </w:rPr>
        <w:t xml:space="preserve">Response Hierarchy Applied to the Campaign Objectives</w:t>
      </w:r>
    </w:p>
    <w:p>
      <w:pPr>
        <w:keepNext/>
        <w:spacing w:after="80"/>
        <w:jc w:val="center"/>
      </w:pPr>
      <w:r>
        <w:drawing>
          <wp:inline distT="0" distB="0" distL="0" distR="0">
            <wp:extent cx="603504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4668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the response hierarchy models in Bryant (2026k), Lavidge and Steiner (1961) and Vaughn (1980). O1–O4 refer to Table 3.</w:t>
      </w:r>
    </w:p>
    <w:p>
      <w:pPr>
        <w:pStyle w:val="Heading1"/>
      </w:pPr>
      <w:r>
        <w:t xml:space="preserve">3. Communication Strategy</w:t>
      </w:r>
    </w:p>
    <w:p>
      <w:pPr>
        <w:pStyle w:val="Heading2"/>
      </w:pPr>
      <w:r>
        <w:t xml:space="preserve">3.1 Customer Insight and Communication Diagnosis</w:t>
      </w:r>
    </w:p>
    <w:p>
      <w:pPr>
        <w:spacing w:after="160" w:line="288"/>
      </w:pPr>
      <w:r>
        <w:rPr>
          <w:b/>
          <w:bCs/>
        </w:rPr>
        <w:t xml:space="preserve">Insight:</w:t>
      </w:r>
      <w:r>
        <w:t xml:space="preserve"> for Segment A, studio fitness is a social performance as well as a physical one. Young women experience exercise as visible "aesthetic labour" on Instagram (Camacho-Miñano et al., 2019), so activewear is judged at the café afterwards as much as in class.</w:t>
      </w:r>
    </w:p>
    <w:p>
      <w:pPr>
        <w:spacing w:after="160" w:line="288"/>
      </w:pPr>
      <w:r>
        <w:t xml:space="preserve">The communication process model (Bryant, 2026k) explains why Alo's communication so far has not turned this insight into visits (Figure 3). Meaning is shared only where the sender's and receiver's fields of experience overlap. Alo's launch was encoded in Los Angeles (celebrities, US price cues) and decoded in Sydney as "beautiful, but not for me", which produced a novelty spike rather than relevance. The fix is not more volume but different encoding: Sydney instructors and creators encode the message inside the receiver's own world. The model also highlights noise from Lululemon's far larger search share and a crowded fashion-influencer feed, which favours repeating one idea rather than running many.</w:t>
      </w:r>
    </w:p>
    <w:p>
      <w:pPr>
        <w:keepNext/>
        <w:spacing w:after="40" w:before="200"/>
      </w:pPr>
      <w:r>
        <w:rPr>
          <w:b/>
          <w:bCs/>
        </w:rPr>
        <w:t xml:space="preserve">Figure 3</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5050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the communication process model in Bryant (2026k).</w:t>
      </w:r>
    </w:p>
    <w:p>
      <w:pPr>
        <w:pStyle w:val="Heading2"/>
      </w:pPr>
      <w:r>
        <w:t xml:space="preserve">3.2 Positioning: Global Brand, Local Meaning</w:t>
      </w:r>
    </w:p>
    <w:p>
      <w:pPr>
        <w:spacing w:after="160" w:line="288"/>
      </w:pPr>
      <w:r>
        <w:rPr>
          <w:b/>
          <w:bCs/>
        </w:rPr>
        <w:t xml:space="preserve">Positioning statement:</w:t>
      </w:r>
      <w:r>
        <w:t xml:space="preserve"> </w:t>
      </w:r>
      <w:r>
        <w:rPr>
          <w:i/>
          <w:iCs/>
        </w:rPr>
        <w:t xml:space="preserve">for style-led studio women in Sydney, Alo is the premium activewear brand designed to move from the reformer to the rest of the day.</w:t>
      </w:r>
      <w:r>
        <w:t xml:space="preserve"> This occupies the gap in Figure 1. Global IMC frames the central tension as standardisation versus localisation, because efficiency for the company does not automatically mean relevance for the consumer (Bryant, 2026l). Table 4 sets the governance rule. Alo's brand identity, positioning and visual assets stay fixed, protecting its global prestige. People, places, partnerships and promotions are localised, because perceived localness adds relational value even for foreign brands (Sichtmann et al., 2019). Localising too far risks a Sydney campaign that no longer looks like Alo, and the standardised brand codes are the safeguard. The decision also has a cost: Alo's global celebrity content will keep reaching Sydney feeds organically, so local work must be distinctive enough to compete with Alo's own global voice.</w:t>
      </w:r>
    </w:p>
    <w:p>
      <w:pPr>
        <w:keepNext/>
        <w:spacing w:after="40" w:before="200"/>
      </w:pPr>
      <w:r>
        <w:rPr>
          <w:b/>
          <w:bCs/>
        </w:rPr>
        <w:t xml:space="preserve">Table 4</w:t>
      </w:r>
    </w:p>
    <w:p>
      <w:pPr>
        <w:keepNext/>
        <w:spacing w:after="100"/>
      </w:pPr>
      <w:r>
        <w:rPr>
          <w:i/>
          <w:iCs/>
        </w:rPr>
        <w:t xml:space="preserve">Standardisation Versus Localisation Governance for the Australian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Standardised (Alo global)</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Localised (Sydney)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identity and assets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Logo, neutral palette, studio aesthetic, typography</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Positioning</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design-led activewear</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Expressed as "Mat to Moment": studio to street in a Sydney day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Sources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 celebrity ambassadors in this launch phase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Sydney instructors, micro-creators, one macro creator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Settings and stories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Bondi studio, neighbourhood café, Bondi-to-Bronte walk</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Partnerships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 near each store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Offers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No discounting (protects premium)</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Styling appointments and early access to new drops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Media</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Store-catchment outdoor, geo-targeted social, Greater Sydney audio</w:t>
            </w:r>
          </w:p>
        </w:tc>
      </w:tr>
    </w:tbl>
    <w:p>
      <w:pPr>
        <w:spacing w:after="240" w:before="60"/>
      </w:pPr>
      <w:r>
        <w:rPr>
          <w:i/>
          <w:iCs/>
          <w:color w:val="5B6770"/>
          <w:sz w:val="19"/>
          <w:szCs w:val="19"/>
        </w:rPr>
        <w:t xml:space="preserve">Note. </w:t>
      </w:r>
      <w:r>
        <w:rPr>
          <w:color w:val="5B6770"/>
          <w:sz w:val="19"/>
          <w:szCs w:val="19"/>
        </w:rPr>
        <w:t xml:space="preserve">Governance split adapted from Bryant (2026l).</w:t>
      </w:r>
    </w:p>
    <w:p>
      <w:pPr>
        <w:pStyle w:val="Heading2"/>
      </w:pPr>
      <w:r>
        <w:t xml:space="preserve">3.3 Message Strategy</w:t>
      </w:r>
    </w:p>
    <w:p>
      <w:pPr>
        <w:spacing w:after="160" w:line="288"/>
      </w:pPr>
      <w:r>
        <w:t xml:space="preserve">One core message carries the proposition everywhere: </w:t>
      </w:r>
      <w:r>
        <w:rPr>
          <w:b/>
          <w:bCs/>
        </w:rPr>
        <w:t xml:space="preserve">"Mat to Moment: one set, made for the whole day."</w:t>
      </w:r>
      <w:r>
        <w:t xml:space="preserve"> It is delivered through three pillars: </w:t>
      </w:r>
      <w:r>
        <w:rPr>
          <w:i/>
          <w:iCs/>
        </w:rPr>
        <w:t xml:space="preserve">Worth it</w:t>
      </w:r>
      <w:r>
        <w:t xml:space="preserve"> (O1), </w:t>
      </w:r>
      <w:r>
        <w:rPr>
          <w:i/>
          <w:iCs/>
        </w:rPr>
        <w:t xml:space="preserve">Made for Sydney's day</w:t>
      </w:r>
      <w:r>
        <w:t xml:space="preserve"> (O2) and </w:t>
      </w:r>
      <w:r>
        <w:rPr>
          <w:i/>
          <w:iCs/>
        </w:rPr>
        <w:t xml:space="preserve">Find us</w:t>
      </w:r>
      <w:r>
        <w:t xml:space="preserve"> (O3, O4). Figure 4 traces each from challenge to touchpoint.</w:t>
      </w:r>
    </w:p>
    <w:p>
      <w:pPr>
        <w:keepNext/>
        <w:spacing w:after="40" w:before="200"/>
      </w:pPr>
      <w:r>
        <w:rPr>
          <w:b/>
          <w:bCs/>
        </w:rPr>
        <w:t xml:space="preserve">Figure 4</w:t>
      </w:r>
    </w:p>
    <w:p>
      <w:pPr>
        <w:keepNext/>
        <w:spacing w:after="100"/>
      </w:pPr>
      <w:r>
        <w:rPr>
          <w:i/>
          <w:iCs/>
        </w:rPr>
        <w:t xml:space="preserve">Integration Architecture: 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pPr>
        <w:spacing w:after="160" w:line="288"/>
      </w:pPr>
      <w:r>
        <w:t xml:space="preserve">The pillars use different persuasion routes because, under the Elaboration Likelihood Model (ELM), the route depends on motivation and ability (Bryant, 2026k; Petty et al., 1983). Segment A is motivated but meets most messages while scrolling or commuting, when ability is low (Figure 5). </w:t>
      </w:r>
      <w:r>
        <w:rPr>
          <w:i/>
          <w:iCs/>
        </w:rPr>
        <w:t xml:space="preserve">Made for Sydney's day</w:t>
      </w:r>
      <w:r>
        <w:t xml:space="preserve"> therefore works peripherally, through attractive local sources and familiar settings. </w:t>
      </w:r>
      <w:r>
        <w:rPr>
          <w:i/>
          <w:iCs/>
        </w:rPr>
        <w:t xml:space="preserve">Find us</w:t>
      </w:r>
      <w:r>
        <w:t xml:space="preserve"> works through repetition, building the memory structures that make a brand easy to find (Sharp, 2010). </w:t>
      </w:r>
      <w:r>
        <w:rPr>
          <w:i/>
          <w:iCs/>
        </w:rPr>
        <w:t xml:space="preserve">Worth it</w:t>
      </w:r>
      <w:r>
        <w:t xml:space="preserve"> takes the central route: fabric, fit and cost per wear are evaluated hands-on at Sanctuary Sessions and in editorial reviews, because centrally formed attitudes last longer and resist counter-arguments such as "Lululemon is cheaper" (Petty &amp; Cacioppo, 1986).</w:t>
      </w:r>
    </w:p>
    <w:p>
      <w:pPr>
        <w:keepNext/>
        <w:spacing w:after="40" w:before="200"/>
      </w:pPr>
      <w:r>
        <w:rPr>
          <w:b/>
          <w:bCs/>
        </w:rPr>
        <w:t xml:space="preserve">Figure 5</w:t>
      </w:r>
    </w:p>
    <w:p>
      <w:pPr>
        <w:keepNext/>
        <w:spacing w:after="100"/>
      </w:pPr>
      <w:r>
        <w:rPr>
          <w:i/>
          <w:iCs/>
        </w:rPr>
        <w:t xml:space="preserve">Elaboration Likelihood Model Applied to Segment A and the Message Pillars</w:t>
      </w:r>
    </w:p>
    <w:p>
      <w:pPr>
        <w:keepNext/>
        <w:spacing w:after="80"/>
        <w:jc w:val="center"/>
      </w:pPr>
      <w:r>
        <w:drawing>
          <wp:inline distT="0" distB="0" distL="0" distR="0">
            <wp:extent cx="603504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36004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Bryant (2026k) and Petty et al. (1983).</w:t>
      </w:r>
    </w:p>
    <w:p>
      <w:pPr>
        <w:spacing w:after="160" w:line="288"/>
      </w:pPr>
      <w:r>
        <w:t xml:space="preserve">Two criticisms shape execution. The routes are not exclusive: the cognitive response model shows one post can trigger product, source and execution thoughts at once (Bryant, 2026k), so creator content is briefed to carry both a cue and an argument. The central route also lacks reach, since sessions host hundreds, not thousands, so every session is filmed for social to carry its proof further. A price-led response was rejected because excessive discounting weakens brand equity (Bryant, 2026d; Kapferer &amp; Bastien, 2009).</w:t>
      </w:r>
    </w:p>
    <w:p>
      <w:pPr>
        <w:pStyle w:val="Heading2"/>
      </w:pPr>
      <w:r>
        <w:t xml:space="preserve">3.4 Source Selection</w:t>
      </w:r>
    </w:p>
    <w:p>
      <w:pPr>
        <w:spacing w:after="160" w:line="288"/>
      </w:pPr>
      <w:r>
        <w:t xml:space="preserve">Sources are judged on credibility and attractiveness (Bryant, 2026k; Ohanian, 1990) and on fit with the claim (Kamins, 1990). Figure 6 applies these criteria across the influencer tiers in Bryant (2026e). Instructors are subject-matter experts whose expertise matches a studio-performance claim. Micro-creators trade reach for credibility and engagement: trust in influencer content rests on credibility and informative value (Lou &amp; Yuan, 2019), and very large followings can reduce perceived uniqueness (De Veirman et al., 2017). Editorial adds third-party credibility that paid media lacks (Cameron, 1994). A mega-tier celebrity was rejected, because high attractiveness with low local fit would re-encode the Los Angeles meaning diagnosed in Section 3.1. The cost of this choice is reach, which one macro creator and paid media buy back. Credibility is also a legal matter: 96% of fashion influencers reviewed had posts raising consumer-law concerns (Bryant, 2026g), so disclosure is written into every brief (Section 4.5). AI-generated and virtual influencers were also excluded. When audiences cannot judge whether a source is real, attractiveness loses its persuasive power (Bryant, 2026k), and authenticity is the campaign's main asset.</w:t>
      </w:r>
    </w:p>
    <w:p>
      <w:pPr>
        <w:keepNext/>
        <w:spacing w:after="40" w:before="200"/>
      </w:pPr>
      <w:r>
        <w:rPr>
          <w:b/>
          <w:bCs/>
        </w:rPr>
        <w:t xml:space="preserve">Figure 6</w:t>
      </w:r>
    </w:p>
    <w:p>
      <w:pPr>
        <w:keepNext/>
        <w:spacing w:after="100"/>
      </w:pPr>
      <w:r>
        <w:rPr>
          <w:i/>
          <w:iCs/>
        </w:rPr>
        <w:t xml:space="preserve">Source Credibility and Attractiveness Applied Across Influencer Tiers</w:t>
      </w:r>
    </w:p>
    <w:p>
      <w:pPr>
        <w:keepNext/>
        <w:spacing w:after="80"/>
        <w:jc w:val="center"/>
      </w:pPr>
      <w:r>
        <w:drawing>
          <wp:inline distT="0" distB="0" distL="0" distR="0">
            <wp:extent cx="603504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16954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source characteristics in Bryant (2026k) and influencer tiers in Bryant (2026e). Ratings are the agency's assessment.</w:t>
      </w:r>
    </w:p>
    <w:p>
      <w:pPr>
        <w:pStyle w:val="Heading2"/>
      </w:pPr>
      <w:r>
        <w:t xml:space="preserve">3.5 Integration Across the Customer Journey</w:t>
      </w:r>
    </w:p>
    <w:p>
      <w:pPr>
        <w:spacing w:after="160" w:line="288"/>
      </w:pPr>
      <w:r>
        <w:t xml:space="preserve">IMC exists to solve one problem: fragmented messages weaken brand equity and trust (Bryant, 2026f). Its test is the right message, audience, channel and timing, delivered through a consistent brand experience (Bryant, 2026f). Figure 7 maps Mat to Moment onto the social consumer decision journey (Bryant, 2026k). Each stage has one job, but all six tell the same story. The loop matters most for a challenger brand, because each advocate's #MatToMoment post becomes discovery content for the next customer at no media cost.</w:t>
      </w:r>
    </w:p>
    <w:p>
      <w:pPr>
        <w:keepNext/>
        <w:spacing w:after="40" w:before="200"/>
      </w:pPr>
      <w:r>
        <w:rPr>
          <w:b/>
          <w:bCs/>
        </w:rPr>
        <w:t xml:space="preserve">Figure 7</w:t>
      </w:r>
    </w:p>
    <w:p>
      <w:pPr>
        <w:keepNext/>
        <w:spacing w:after="100"/>
      </w:pPr>
      <w:r>
        <w:rPr>
          <w:i/>
          <w:iCs/>
        </w:rPr>
        <w:t xml:space="preserve">Social Consumer Decision Journey Applied to Mat to Moment</w:t>
      </w:r>
    </w:p>
    <w:p>
      <w:pPr>
        <w:keepNext/>
        <w:spacing w:after="80"/>
        <w:jc w:val="center"/>
      </w:pPr>
      <w:r>
        <w:drawing>
          <wp:inline distT="0" distB="0" distL="0" distR="0">
            <wp:extent cx="603504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18859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the social consumer decision journey in Bryant (2026k).</w:t>
      </w:r>
    </w:p>
    <w:p>
      <w:pPr>
        <w:spacing w:after="160" w:line="288"/>
      </w:pPr>
      <w:r>
        <w:t xml:space="preserve">Integration has a cost that the campaign accepts deliberately. Figure 8 places Alo's touchpoints on the impact-versus-control curve (Bryant, 2026f). About 45% of the budget goes to creators, sessions and PR, which are more persuasive but less controllable than advertising. Customer-initiated posts and unexpected moments, such as an unflattering review or a creator controversy, cannot be scripted. Three levers protect consistency: shared brand codes on every execution, tight creator briefs and weekly social listening with a pre-agreed response protocol. This is the campaign's central bet. A more controllable, advertising-led plan would be more consistent but less believable, the opposite of what Challenges 1 and 5 require.</w:t>
      </w:r>
    </w:p>
    <w:p>
      <w:pPr>
        <w:keepNext/>
        <w:spacing w:after="40" w:before="200"/>
      </w:pPr>
      <w:r>
        <w:rPr>
          <w:b/>
          <w:bCs/>
        </w:rPr>
        <w:t xml:space="preserve">Figure 8</w:t>
      </w:r>
    </w:p>
    <w:p>
      <w:pPr>
        <w:keepNext/>
        <w:spacing w:after="100"/>
      </w:pPr>
      <w:r>
        <w:rPr>
          <w:i/>
          <w:iCs/>
        </w:rPr>
        <w:t xml:space="preserve">IMC Touchpoints Mapped by Impact and Control</w:t>
      </w:r>
    </w:p>
    <w:p>
      <w:pPr>
        <w:keepNext/>
        <w:spacing w:after="80"/>
        <w:jc w:val="center"/>
      </w:pPr>
      <w:r>
        <w:drawing>
          <wp:inline distT="0" distB="0" distL="0" distR="0">
            <wp:extent cx="603504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35337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the touchpoint impact-versus-control framework in Bryant (2026f).</w:t>
      </w:r>
    </w:p>
    <w:p>
      <w:pPr>
        <w:pStyle w:val="Heading1"/>
      </w:pPr>
      <w:r>
        <w:t xml:space="preserve">4. Creative Strategy</w:t>
      </w:r>
    </w:p>
    <w:p>
      <w:pPr>
        <w:pStyle w:val="Heading2"/>
      </w:pPr>
      <w:r>
        <w:t xml:space="preserve">4.1 Creative Brief and Concept</w:t>
      </w:r>
    </w:p>
    <w:p>
      <w:pPr>
        <w:spacing w:after="160" w:line="288"/>
      </w:pPr>
      <w:r>
        <w:t xml:space="preserve">The creative strategy is set out as a creative brief (Table 5), the document that keeps clients, creatives and media planners working to the same objectives (Bryant, 2026h). The central execution, </w:t>
      </w:r>
      <w:r>
        <w:rPr>
          <w:b/>
          <w:bCs/>
        </w:rPr>
        <w:t xml:space="preserve">One Set, One Day</w:t>
      </w:r>
      <w:r>
        <w:t xml:space="preserve">, follows a single Alo set through a real Sydney day: a morning reformer class, coffee, errands and an evening coastal walk. The proposed lead creator is Bernadette Sukkar, founder of Body by Berner in Bondi, whose Pilates studio and fashion-PR background match both halves of "Mat to Moment" (RIISE, 2026). Her studio hosts the first </w:t>
      </w:r>
      <w:r>
        <w:rPr>
          <w:b/>
          <w:bCs/>
        </w:rPr>
        <w:t xml:space="preserve">Sanctuary Sessions</w:t>
      </w:r>
      <w:r>
        <w:t xml:space="preserve">. Followers take a class, try the set and receive styling advice, then a complimentary styling appointment and early access to new drops rather than a discount.</w:t>
      </w:r>
    </w:p>
    <w:p>
      <w:pPr>
        <w:keepNext/>
        <w:spacing w:after="40" w:before="200"/>
      </w:pPr>
      <w:r>
        <w:rPr>
          <w:b/>
          <w:bCs/>
        </w:rPr>
        <w:t xml:space="preserve">Table 5</w:t>
      </w:r>
    </w:p>
    <w:p>
      <w:pPr>
        <w:keepNext/>
        <w:spacing w:after="100"/>
      </w:pPr>
      <w:r>
        <w:rPr>
          <w:i/>
          <w:iCs/>
        </w:rPr>
        <w:t xml:space="preserve">Mat to Moment Creative Brief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Brief element</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Background</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Alo has two Sydney stores and fading post-launch interest (Section 1)</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Objectives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O1–O4: feel → learn → do (Table 3)</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aged 22–34 in Greater Sydney</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Studio fitness is a social performance; activewear is judged after class as much as in it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Mat to Moment: one set, made for the whole day</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Brand personality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Calm, confident, polished, welcoming</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Instructor-tested fit and fabric; cost per wear; editorial reviews; Sydney creators who live in the product</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Tone and style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neutral palette, real Sydney settings, diverse bodies, no retouching</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Mandatories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#ad disclosure; substantiated claims only; Spam Act consent; music sync licences (Section 4.5)</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Media and deliverables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Hero film and three cut-downs, stills, 30-second audio, outdoor layouts, creator toolkits, session invitations and emails</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Budget and timeline</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A$250,000; 4 January – 28 March 2027 (Section 5)</w:t>
            </w:r>
          </w:p>
        </w:tc>
      </w:tr>
    </w:tbl>
    <w:p>
      <w:pPr>
        <w:spacing w:after="240" w:before="60"/>
      </w:pPr>
      <w:r>
        <w:rPr>
          <w:i/>
          <w:iCs/>
          <w:color w:val="5B6770"/>
          <w:sz w:val="19"/>
          <w:szCs w:val="19"/>
        </w:rPr>
        <w:t xml:space="preserve">Note. </w:t>
      </w:r>
      <w:r>
        <w:rPr>
          <w:color w:val="5B6770"/>
          <w:sz w:val="19"/>
          <w:szCs w:val="19"/>
        </w:rPr>
        <w:t xml:space="preserve">Structure follows the creative brief elements in Bryant (2026h).</w:t>
      </w:r>
    </w:p>
    <w:p>
      <w:pPr>
        <w:pStyle w:val="Heading2"/>
      </w:pPr>
      <w:r>
        <w:t xml:space="preserve">4.2 Creativity: Divergence and Relevance</w:t>
      </w:r>
    </w:p>
    <w:p>
      <w:pPr>
        <w:spacing w:after="160" w:line="288"/>
      </w:pPr>
      <w:r>
        <w:t xml:space="preserve">Creativity requires both divergence and relevance (Smith &amp; Yang, 2004), and Table 6 applies the dimensions from Bryant (2026h). The idea diverges from the category convention of sweat and intensity by showing quiet everyday moments linked by one set. It is relevant because that narrative </w:t>
      </w:r>
      <w:r>
        <w:rPr>
          <w:i/>
          <w:iCs/>
        </w:rPr>
        <w:t xml:space="preserve">is</w:t>
      </w:r>
      <w:r>
        <w:t xml:space="preserve"> the positioning, so it cannot be mistaken for generic lifestyle advertising. The critical risk is that divergent work is remembered without the brand. The safeguard is brand integration: the logo, neutral palette and "Mat to Moment" sign-off appear in every execution, and recognisable Sydney settings anchor the story locally. Flexibility is also tested by the weakest format: outdoor cannot tell a day-long story, so it compresses the idea into three moments in a single frame rather than abandoning it.</w:t>
      </w:r>
    </w:p>
    <w:p>
      <w:pPr>
        <w:keepNext/>
        <w:spacing w:after="40" w:before="200"/>
      </w:pPr>
      <w:r>
        <w:rPr>
          <w:b/>
          <w:bCs/>
        </w:rPr>
        <w:t xml:space="preserve">Table 6</w:t>
      </w:r>
    </w:p>
    <w:p>
      <w:pPr>
        <w:keepNext/>
        <w:spacing w:after="100"/>
      </w:pPr>
      <w:r>
        <w:rPr>
          <w:i/>
          <w:iCs/>
        </w:rPr>
        <w:t xml:space="preserve">Divergence and Relevance Applied to One Set, One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Dimension</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Evidence in the campaign</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Divergence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Originality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Shows quiet post-class moments, not the category's sweat-and-intensity convention</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Flexibility</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idea works as film, still, audio, outdoor and live session</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Synthesis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Links two unrelated worlds, the reformer and the café, through one garment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Elaboration</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Timestamps, sound cues and styling details reward repeat viewing</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Artistic value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and restrained art direction suit a premium brand</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Relevance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Meaningfulness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Mirrors Segment A's real routine and its "after class" problem</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appropriateness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Expresses Alo's studio-to-street design heritage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Persuasion</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Turns a price objection into a cost-per-wear argument</w:t>
            </w:r>
          </w:p>
        </w:tc>
      </w:tr>
    </w:tbl>
    <w:p>
      <w:pPr>
        <w:spacing w:after="240" w:before="60"/>
      </w:pPr>
      <w:r>
        <w:rPr>
          <w:i/>
          <w:iCs/>
          <w:color w:val="5B6770"/>
          <w:sz w:val="19"/>
          <w:szCs w:val="19"/>
        </w:rPr>
        <w:t xml:space="preserve">Note. </w:t>
      </w:r>
      <w:r>
        <w:rPr>
          <w:color w:val="5B6770"/>
          <w:sz w:val="19"/>
          <w:szCs w:val="19"/>
        </w:rPr>
        <w:t xml:space="preserve">Dimensions adapted from Smith and Yang (2004) as presented in Bryant (2026h).</w:t>
      </w:r>
    </w:p>
    <w:p>
      <w:pPr>
        <w:pStyle w:val="Heading2"/>
      </w:pPr>
      <w:r>
        <w:t xml:space="preserve">4.3 Creative Appeals and Execution</w:t>
      </w:r>
    </w:p>
    <w:p>
      <w:pPr>
        <w:spacing w:after="160" w:line="288"/>
      </w:pPr>
      <w:r>
        <w:t xml:space="preserve">The lead appeal is emotional, combining the aspirational and social-approval appeals in Bryant (2026h): Alo is part of a desirable but attainable Sydney day. Social approval is the riskiest appeal for this audience, because the same visibility that drives the insight also drives appearance pressure (Camacho-Miñano et al., 2019). Persuasion becomes manipulation when it exploits vulnerability (Bryant, 2026g), so executions show diverse bodies and abilities, use no retouching or transformation imagery, and express belonging through shared experience, not ownership.</w:t>
      </w:r>
    </w:p>
    <w:p>
      <w:pPr>
        <w:spacing w:after="160" w:line="288"/>
      </w:pPr>
      <w:r>
        <w:t xml:space="preserve">A rational appeal supports the emotional one. Product content links each feature to a benefit, and creators and customers reframe price as </w:t>
      </w:r>
      <w:r>
        <w:rPr>
          <w:b/>
          <w:bCs/>
        </w:rPr>
        <w:t xml:space="preserve">cost per wear</w:t>
      </w:r>
      <w:r>
        <w:t xml:space="preserve">, consistent with value now meaning longevity as much as low price (Bryant, 2026d). Execution combines slice-of-life storytelling, testimonial and product demonstration, in a calm, confident tone, with natural light and Alo's neutral palette. Storytelling carries the emotion and demonstration carries the proof, so neither appeal has to work alone.</w:t>
      </w:r>
    </w:p>
    <w:p>
      <w:pPr>
        <w:pStyle w:val="Heading2"/>
      </w:pPr>
      <w:r>
        <w:t xml:space="preserve">4.4 One Idea Across Every Channel</w:t>
      </w:r>
    </w:p>
    <w:p>
      <w:pPr>
        <w:spacing w:after="160" w:line="288"/>
      </w:pPr>
      <w:r>
        <w:t xml:space="preserve">The Burberry case in Bryant (2026h) shows that strong campaigns use many creative tactics in service of one idea. Figure 9 applies the same discipline. Outdoor, social video, Spotify audio and session invitations each use the hook, narrative depth and call to action that suits the medium, but they share one story, one set of brand assets and one sign-off. Brands need consistent strategic meaning without making every execution identical (Bryant, 2026d), and this is how Mat to Moment adapts to each format without fragmenting. The payoff is cumulative. IMC builds trust and recall through repetition, consistency, novelty and creativity (Bryant, 2026f), so a viewer who hears the audio, passes the bus shelter and then sees a creator's post meets the same idea three times, not three different ideas once.</w:t>
      </w:r>
    </w:p>
    <w:p>
      <w:pPr>
        <w:keepNext/>
        <w:spacing w:after="40" w:before="200"/>
      </w:pPr>
      <w:r>
        <w:rPr>
          <w:b/>
          <w:bCs/>
        </w:rPr>
        <w:t xml:space="preserve">Figure 9</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Tactic categories adapted from Bryant (2026h).</w:t>
      </w:r>
    </w:p>
    <w:p>
      <w:pPr>
        <w:pStyle w:val="Heading2"/>
      </w:pPr>
      <w:r>
        <w:t xml:space="preserve">4.5 Mandatory Requirements</w:t>
      </w:r>
    </w:p>
    <w:p>
      <w:pPr>
        <w:spacing w:after="160" w:line="288"/>
      </w:pPr>
      <w:r>
        <w:t xml:space="preserve">Every claim must survive scrutiny from a regulator, a customer and a reasonable member of the public (Bryant, 2026g). Performance and durability claims need evidence under section 18 of the Australian Consumer Law, a risk Lorna Jane's A$5 million penalty makes clear (ACCC, 2021). Creator posts carry clear #ad or Paid Partnership labels under the AANA Code, booking emails require consent and an unsubscribe option under the Spam Act, and music in the film and audio needs sync licences for both the composition and the recording (Bryant, 2026g).</w:t>
      </w:r>
    </w:p>
    <w:p>
      <w:pPr>
        <w:pStyle w:val="Heading1"/>
      </w:pPr>
      <w:r>
        <w:t xml:space="preserve">5. Media Strategy and Budget</w:t>
      </w:r>
    </w:p>
    <w:p>
      <w:pPr>
        <w:pStyle w:val="Heading2"/>
      </w:pPr>
      <w:r>
        <w:t xml:space="preserve">5.1 Media Objectives and Mix</w:t>
      </w:r>
    </w:p>
    <w:p>
      <w:pPr>
        <w:spacing w:after="160" w:line="288"/>
      </w:pPr>
      <w:r>
        <w:t xml:space="preserve">Media planning selects and schedules vehicles to reach the target audience at the right time and the lowest cost, balancing reach for awareness against frequency for persuasion (Bryant, 2026i). Mat to Moment needs both, so it splits the job. Outdoor, Spotify and geo-targeted social deliver reach for </w:t>
      </w:r>
      <w:r>
        <w:rPr>
          <w:i/>
          <w:iCs/>
        </w:rPr>
        <w:t xml:space="preserve">Find us</w:t>
      </w:r>
      <w:r>
        <w:t xml:space="preserve"> (O3), while creators and sessions deliver frequency and depth for </w:t>
      </w:r>
      <w:r>
        <w:rPr>
          <w:i/>
          <w:iCs/>
        </w:rPr>
        <w:t xml:space="preserve">Worth it</w:t>
      </w:r>
      <w:r>
        <w:t xml:space="preserve"> and </w:t>
      </w:r>
      <w:r>
        <w:rPr>
          <w:i/>
          <w:iCs/>
        </w:rPr>
        <w:t xml:space="preserve">Made for Sydney's day</w:t>
      </w:r>
      <w:r>
        <w:t xml:space="preserve"> (O1, O2). Media objectives are set in the format of Bryant (2026i): reach 70% of Segment A in Greater Sydney at least once during Burst 1, with an average frequency of four exposures across outdoor, audio and social, and reach at least 20% of exposed users again through retargeting in Burst 3. Table 7 sets out each vehicle with its pillar, journey stage and paid, owned or earned role (Bryant, 2026c).</w:t>
      </w:r>
    </w:p>
    <w:p>
      <w:pPr>
        <w:keepNext/>
        <w:spacing w:after="40" w:before="200"/>
      </w:pPr>
      <w:r>
        <w:rPr>
          <w:b/>
          <w:bCs/>
        </w:rPr>
        <w:t xml:space="preserve">Table 7</w:t>
      </w:r>
    </w:p>
    <w:p>
      <w:pPr>
        <w:keepNext/>
        <w:spacing w:after="100"/>
      </w:pPr>
      <w:r>
        <w:rPr>
          <w:i/>
          <w:iCs/>
        </w:rPr>
        <w:t xml:space="preserve">Media Mix by Pillar, Journey Stage and Media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4"/>
        <w:gridCol w:w="1446"/>
        <w:gridCol w:w="1446"/>
        <w:gridCol w:w="1060"/>
        <w:gridCol w:w="2120"/>
        <w:gridCol w:w="1542"/>
      </w:tblGrid>
      <w:tr>
        <w:trPr>
          <w:tblHeader/>
        </w:trPr>
        <w:tc>
          <w:tcPr>
            <w:tcW w:type="dxa" w:w="202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Vehicle</w:t>
            </w:r>
          </w:p>
        </w:tc>
        <w:tc>
          <w:tcPr>
            <w:tcW w:type="dxa" w:w="144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44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Journey stage</w:t>
            </w:r>
          </w:p>
        </w:tc>
        <w:tc>
          <w:tcPr>
            <w:tcW w:type="dxa" w:w="106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212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Geography and targeting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Reach or frequency role</w:t>
            </w:r>
          </w:p>
        </w:tc>
      </w:tr>
      <w:tr>
        <w:trPr>
          <w:cantSplit/>
        </w:trPr>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Outdoor: street furniture, transit, beach-side</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 recognition, purchase</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Near Chatswood Chase, The Galeries, Bondi Junction; Bondi and Bronte</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Made for Sydney's day</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Need recognition</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Greater Sydney, women 22–34; commute and workout listening</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(Instagram, TikTok) and retargeting</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 stages</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Women 22–34 within a radius of each store</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then frequency</w:t>
            </w:r>
          </w:p>
        </w:tc>
      </w:tr>
      <w:tr>
        <w:trPr>
          <w:cantSplit/>
        </w:trPr>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Creators (1 macro, 8–10 micro, lead creator)</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Made for Sydney's day</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Social discovery</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owned → earned</w:t>
            </w:r>
          </w:p>
        </w:tc>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Sydney-based creators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Frequency, credibility</w:t>
            </w:r>
          </w:p>
        </w:tc>
      </w:tr>
      <w:tr>
        <w:trPr>
          <w:cantSplit/>
        </w:trPr>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Active evaluation</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Depth (central route)</w:t>
            </w:r>
          </w:p>
        </w:tc>
      </w:tr>
      <w:tr>
        <w:trPr>
          <w:cantSplit/>
        </w:trPr>
        <w:tc>
          <w:tcPr>
            <w:tcW w:type="dxa" w:w="202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PR and editorial</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44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 evaluation</w:t>
            </w:r>
          </w:p>
        </w:tc>
        <w:tc>
          <w:tcPr>
            <w:tcW w:type="dxa" w:w="106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 lifestyle and fashion titles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Credibility</w:t>
            </w:r>
          </w:p>
        </w:tc>
      </w:tr>
      <w:tr>
        <w:trPr>
          <w:cantSplit/>
        </w:trPr>
        <w:tc>
          <w:tcPr>
            <w:tcW w:type="dxa" w:w="202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Owned: Alo social, website, booking and store emails</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44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Purchase, advocacy</w:t>
            </w:r>
          </w:p>
        </w:tc>
        <w:tc>
          <w:tcPr>
            <w:tcW w:type="dxa" w:w="106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Followers and session bookers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Frequency, conversion</w:t>
            </w:r>
          </w:p>
        </w:tc>
      </w:tr>
    </w:tbl>
    <w:p>
      <w:pPr>
        <w:spacing w:after="160"/>
      </w:pPr>
    </w:p>
    <w:p>
      <w:pPr>
        <w:spacing w:after="160" w:line="288"/>
      </w:pPr>
      <w:r>
        <w:t xml:space="preserve">Three choices deserve critique. Outdoor has low selectivity and limited space (Bryant, 2026e), so it carries only the simplest message, the store line, placed near stores where it works as a point-of-purchase cue. Spotify matches Millennials' streaming and podcast habits (Bryant, 2026a) but cannot show the set, so it relies on sound cues that echo the film, and retargeting follows anyone exposed to either (Bryant, 2026c). PR must pass the publicity test: would anyone still want the story if it were not about the brand (Bryant, 2026j)? A branded Pilates class fails that test. The PR hooks are therefore the free Bondi-to-Bronte Sanctuary walk series and a cost-per-wear challenge, which are human, visual and shareable. Sanctuary Sessions also act as the campaign's sales promotion. Samples and free trials reduce purchase risk (Bryant, 2026j), so the session is a free trial of the fabric, which removes the main barrier to buying without the price cut that a discount would signal.</w:t>
      </w:r>
    </w:p>
    <w:p>
      <w:pPr>
        <w:pStyle w:val="Heading2"/>
      </w:pPr>
      <w:r>
        <w:t xml:space="preserve">5.2 Scheduling</w:t>
      </w:r>
    </w:p>
    <w:p>
      <w:pPr>
        <w:spacing w:after="160" w:line="288"/>
      </w:pPr>
      <w:r>
        <w:t xml:space="preserve">Appendix A shows interest decaying after each burst of novelty, so a single campaign burst would likely repeat that pattern. The campaign therefore uses </w:t>
      </w:r>
      <w:r>
        <w:rPr>
          <w:b/>
          <w:bCs/>
        </w:rPr>
        <w:t xml:space="preserve">pulsing</w:t>
      </w:r>
      <w:r>
        <w:t xml:space="preserve">, a continuous base with heavier bursts (Bryant, 2026i). Figure 10 shows three bursts matched to journey stages: awareness (weeks 1–3), consideration (weeks 6–8), and visits and advocacy (weeks 11–12). An always-on base of creators, owned channels and weekly sessions keeps Alo familiar between bursts. Continuous scheduling at full weight is unaffordable on this budget, and flighting would leave silent gaps in which interest has already been shown to decay, so pulsing is the only pattern that fits both the evidence and the budget. The campaign runs through Sydney's summer, which suits its beach and café settings.</w:t>
      </w:r>
    </w:p>
    <w:p>
      <w:pPr>
        <w:keepNext/>
        <w:spacing w:after="40" w:before="200"/>
      </w:pPr>
      <w:r>
        <w:rPr>
          <w:b/>
          <w:bCs/>
        </w:rPr>
        <w:t xml:space="preserve">Figure 10</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Scheduling approach adapted from Bryant (2026i). Pre-tests and baseline survey run in December 2026; the post-campaign survey runs in early April 2027.</w:t>
      </w:r>
    </w:p>
    <w:p>
      <w:pPr>
        <w:pStyle w:val="Heading2"/>
      </w:pPr>
      <w:r>
        <w:t xml:space="preserve">5.3 Budget</w:t>
      </w:r>
    </w:p>
    <w:p>
      <w:pPr>
        <w:spacing w:after="160" w:line="288"/>
      </w:pPr>
      <w:r>
        <w:t xml:space="preserve">The budget uses the objective-and-task method (Belch &amp; Belch, 2021): tasks are costed against objectives rather than set as a share of sales Alo does not yet have in Australia (Table 8). Partnerships and experiential activity receive the largest share (42%) because they sit at the centre of paid, owned and earned media: a creator partnership is paid, its content is reused on Alo's owned channels, and audiences share it as earned media. Discounting and celebrity endorsement are excluded because both would weaken Alo's premium, local position. The weakness of this split is that only 40% buys traditional reach, so Burst 1 must hit its reach objective; if it does not, the contingency moves into paid social. The 5% contingency also covers rate changes and a delayed Bondi Junction opening.</w:t>
      </w:r>
    </w:p>
    <w:p>
      <w:pPr>
        <w:keepNext/>
        <w:spacing w:after="40" w:before="200"/>
      </w:pPr>
      <w:r>
        <w:rPr>
          <w:b/>
          <w:bCs/>
        </w:rPr>
        <w:t xml:space="preserve">Table 8</w:t>
      </w:r>
    </w:p>
    <w:p>
      <w:pPr>
        <w:keepNext/>
        <w:spacing w:after="100"/>
      </w:pPr>
      <w:r>
        <w:rPr>
          <w:i/>
          <w:iCs/>
        </w:rPr>
        <w:t xml:space="preserve">Campaign Budget With Subtotals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205"/>
        <w:gridCol w:w="1157"/>
        <w:gridCol w:w="1156"/>
      </w:tblGrid>
      <w:tr>
        <w:trPr>
          <w:tblHeader/>
        </w:trPr>
        <w:tc>
          <w:tcPr>
            <w:tcW w:type="dxa" w:w="2120"/>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Category</w:t>
            </w:r>
          </w:p>
        </w:tc>
        <w:tc>
          <w:tcPr>
            <w:tcW w:type="dxa" w:w="520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 geo-targeted reach, creator whitelisting, Burst 3 retargeting</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 advertising: store-catchment and beach-side sites, Burst 1</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16.0</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 Greater Sydney, women 22–34, Burst 1</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6.0</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40.0</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 and experiential</w:t>
            </w: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 including usage rights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One coordinated shoot: hero film, cut-downs, stills, audio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8.0</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 press kits, seeding, media relations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C</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28,000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11.2</w:t>
            </w:r>
          </w:p>
        </w:tc>
      </w:tr>
      <w:tr>
        <w:trPr>
          <w:cantSplit/>
        </w:trPr>
        <w:tc>
          <w:tcPr>
            <w:tcW w:type="dxa" w:w="2120"/>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 Research</w:t>
            </w:r>
          </w:p>
        </w:tc>
        <w:tc>
          <w:tcPr>
            <w:tcW w:type="dxa" w:w="520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Pre- and post-campaign surveys and creative pre-test</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2120"/>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 Contingency</w:t>
            </w:r>
          </w:p>
        </w:tc>
        <w:tc>
          <w:tcPr>
            <w:tcW w:type="dxa" w:w="520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Rate changes, Bondi Junction scenario, extra weight behind best content</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4.8</w:t>
            </w:r>
          </w:p>
        </w:tc>
      </w:tr>
      <w:tr>
        <w:trPr>
          <w:cantSplit/>
        </w:trPr>
        <w:tc>
          <w:tcPr>
            <w:tcW w:type="dxa" w:w="2120"/>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520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w:t>
            </w:r>
          </w:p>
        </w:tc>
      </w:tr>
    </w:tbl>
    <w:p>
      <w:pPr>
        <w:spacing w:after="240" w:before="60"/>
      </w:pPr>
      <w:r>
        <w:rPr>
          <w:i/>
          <w:iCs/>
          <w:color w:val="5B6770"/>
          <w:sz w:val="19"/>
          <w:szCs w:val="19"/>
        </w:rPr>
        <w:t xml:space="preserve">Note. </w:t>
      </w:r>
      <w:r>
        <w:rPr>
          <w:color w:val="5B6770"/>
          <w:sz w:val="19"/>
          <w:szCs w:val="19"/>
        </w:rPr>
        <w:t xml:space="preserve">Objective-and-task method (Belch &amp; Belch, 2021). Planning estimates to be confirmed with media quotes and creator rate cards.</w:t>
      </w:r>
    </w:p>
    <w:p>
      <w:pPr>
        <w:pStyle w:val="Heading1"/>
      </w:pPr>
      <w:r>
        <w:t xml:space="preserve">6. Campaign Evaluation</w:t>
      </w:r>
    </w:p>
    <w:p>
      <w:pPr>
        <w:spacing w:after="160" w:line="288"/>
      </w:pPr>
      <w:r>
        <w:t xml:space="preserve">Effectiveness is the extent to which a campaign achieves its intended outcomes, not its reach or likes (Bryant, 2026b). Table 9 links each objective to a measure. </w:t>
      </w:r>
      <w:r>
        <w:rPr>
          <w:b/>
          <w:bCs/>
        </w:rPr>
        <w:t xml:space="preserve">Pre-testing</w:t>
      </w:r>
      <w:r>
        <w:t xml:space="preserve"> (December 2026) uses concept tests and an online survey to check that the message is understood, the creative is attributed to Alo, the audience finds it relevant and the call to action is clear (Bryant, 2026b). Pre-test viewers are made to watch, which real audiences are not, so results are used to choose between executions, not to forecast outcomes. </w:t>
      </w:r>
      <w:r>
        <w:rPr>
          <w:b/>
          <w:bCs/>
        </w:rPr>
        <w:t xml:space="preserve">In-flight</w:t>
      </w:r>
      <w:r>
        <w:t xml:space="preserve">, digital metrics (completion, engagement, session bookings and tracked creator links) guide reallocation between bursts (Bryant, 2026c). Creators are judged on audience fit, credibility and brand lift rather than follower counts (Bryant, 2026b). </w:t>
      </w:r>
      <w:r>
        <w:rPr>
          <w:b/>
          <w:bCs/>
        </w:rPr>
        <w:t xml:space="preserve">Post-testing</w:t>
      </w:r>
      <w:r>
        <w:t xml:space="preserve"> (April 2027) repeats the survey and checks self-reported visits against store traffic and web analytics. A Melbourne control sample addresses the key post-test question of how confidently change can be attributed to the campaign (Bryant, 2026b). AI tools may speed up sentiment analysis and attribution, but their outputs need human judgement, because correlation does not prove causation (Bryant, 2026b). Results will therefore be reported as indicative rather than proven, and any unexpected audiences, such as Segment B shoppers responding to outdoor, will be reported as learning, not noise.</w:t>
      </w:r>
    </w:p>
    <w:p>
      <w:pPr>
        <w:keepNext/>
        <w:spacing w:after="40" w:before="200"/>
      </w:pPr>
      <w:r>
        <w:rPr>
          <w:b/>
          <w:bCs/>
        </w:rPr>
        <w:t xml:space="preserve">Table 9</w:t>
      </w:r>
    </w:p>
    <w:p>
      <w:pPr>
        <w:keepNext/>
        <w:spacing w:after="100"/>
      </w:pPr>
      <w:r>
        <w:rPr>
          <w:i/>
          <w:iCs/>
        </w:rPr>
        <w:t xml:space="preserve">Evaluation Plan by Objective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506"/>
        <w:gridCol w:w="3084"/>
        <w:gridCol w:w="1349"/>
        <w:gridCol w:w="1157"/>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Primary measure</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Supporting measures</w:t>
            </w:r>
          </w:p>
        </w:tc>
        <w:tc>
          <w:tcPr>
            <w:tcW w:type="dxa" w:w="134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Pre-test</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Message understood, brand attributed, relevance, clear CTA</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Concept tests, A/B comparison of edits</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Majority attribute to Alo</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O1 Worth it</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 agreement</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Session feedback; cost-per-wear UGC sentiment; editorial tone</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O2 People like me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Creator comment sentiment; #MatToMoment volume</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 Store awareness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 and frequency; store-locator clicks; weekly Google Trends</w:t>
            </w:r>
          </w:p>
        </w:tc>
        <w:tc>
          <w:tcPr>
            <w:tcW w:type="dxa" w:w="134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 weekly</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 Visits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 traffic; Sydney web sessions; tracked creator links</w:t>
            </w:r>
          </w:p>
        </w:tc>
        <w:tc>
          <w:tcPr>
            <w:tcW w:type="dxa" w:w="134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 weekly</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240" w:before="60"/>
      </w:pPr>
      <w:r>
        <w:rPr>
          <w:i/>
          <w:iCs/>
          <w:color w:val="5B6770"/>
          <w:sz w:val="19"/>
          <w:szCs w:val="19"/>
        </w:rPr>
        <w:t xml:space="preserve">Note. </w:t>
      </w:r>
      <w:r>
        <w:rPr>
          <w:color w:val="5B6770"/>
          <w:sz w:val="19"/>
          <w:szCs w:val="19"/>
        </w:rPr>
        <w:t xml:space="preserve">Measures adapted from Bryant (2026b, 2026c). Each survey wave includes a Melbourne control sample.</w:t>
      </w:r>
    </w:p>
    <w:p>
      <w:pPr>
        <w:pStyle w:val="Heading1"/>
      </w:pPr>
      <w:r>
        <w:t xml:space="preserve">7. Conclusion</w:t>
      </w:r>
    </w:p>
    <w:p>
      <w:pPr>
        <w:spacing w:after="160" w:line="288"/>
      </w:pPr>
      <w:r>
        <w:t xml:space="preserve">Alo arrived in Sydney with a famous name but little local meaning. Each pillar, source, channel and burst in this brief exists to answer one of the five diagnosed challenges. Mat to Moment answers each with one message that is adapted to every channel and source but never changed: one set, made for the whole Sydney day.</w:t>
      </w:r>
    </w:p>
    <w:p>
      <w:r>
        <w:br w:type="page"/>
      </w:r>
    </w:p>
    <w:p>
      <w:pPr>
        <w:pStyle w:val="Heading1"/>
      </w:pPr>
      <w:r>
        <w:t xml:space="preserve">References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Bryant, P. (2026a). </w:t>
      </w:r>
      <w:r>
        <w:rPr>
          <w:i/>
          <w:iCs/>
          <w:sz w:val="21"/>
          <w:szCs w:val="21"/>
        </w:rPr>
        <w:t xml:space="preserve">The audience: Consumers and marketing communications</w:t>
      </w:r>
      <w:r>
        <w:rPr>
          <w:sz w:val="21"/>
          <w:szCs w:val="21"/>
        </w:rPr>
        <w:t xml:space="preserve"> [Lecture slides, Week 2]. MKTG3112 Marketing Communications, The University of Sydney.</w:t>
      </w:r>
    </w:p>
    <w:p>
      <w:pPr>
        <w:spacing w:after="120" w:line="276"/>
        <w:ind w:left="720" w:hanging="720"/>
      </w:pPr>
      <w:r>
        <w:rPr>
          <w:sz w:val="21"/>
          <w:szCs w:val="21"/>
        </w:rPr>
        <w:t xml:space="preserve">Bryant, P. (2026b). </w:t>
      </w:r>
      <w:r>
        <w:rPr>
          <w:i/>
          <w:iCs/>
          <w:sz w:val="21"/>
          <w:szCs w:val="21"/>
        </w:rPr>
        <w:t xml:space="preserve">Did it work? Measuring the effectiveness of the campaign</w:t>
      </w:r>
      <w:r>
        <w:rPr>
          <w:sz w:val="21"/>
          <w:szCs w:val="21"/>
        </w:rPr>
        <w:t xml:space="preserve"> [Lecture slides, Week 10]. MKTG3112 Marketing Communications, The University of Sydney.</w:t>
      </w:r>
    </w:p>
    <w:p>
      <w:pPr>
        <w:spacing w:after="120" w:line="276"/>
        <w:ind w:left="720" w:hanging="720"/>
      </w:pPr>
      <w:r>
        <w:rPr>
          <w:sz w:val="21"/>
          <w:szCs w:val="21"/>
        </w:rPr>
        <w:t xml:space="preserve">Bryant, P. (2026c). </w:t>
      </w:r>
      <w:r>
        <w:rPr>
          <w:i/>
          <w:iCs/>
          <w:sz w:val="21"/>
          <w:szCs w:val="21"/>
        </w:rPr>
        <w:t xml:space="preserve">Digital media</w:t>
      </w:r>
      <w:r>
        <w:rPr>
          <w:sz w:val="21"/>
          <w:szCs w:val="21"/>
        </w:rPr>
        <w:t xml:space="preserve"> [Lecture slides, Week 8]. MKTG3112 Marketing Communications, The University of Sydney.</w:t>
      </w:r>
    </w:p>
    <w:p>
      <w:pPr>
        <w:spacing w:after="120" w:line="276"/>
        <w:ind w:left="720" w:hanging="720"/>
      </w:pPr>
      <w:r>
        <w:rPr>
          <w:sz w:val="21"/>
          <w:szCs w:val="21"/>
        </w:rPr>
        <w:t xml:space="preserve">Bryant, P. (2026d). </w:t>
      </w:r>
      <w:r>
        <w:rPr>
          <w:i/>
          <w:iCs/>
          <w:sz w:val="21"/>
          <w:szCs w:val="21"/>
        </w:rPr>
        <w:t xml:space="preserve">The future of IMC in a polycrisis world</w:t>
      </w:r>
      <w:r>
        <w:rPr>
          <w:sz w:val="21"/>
          <w:szCs w:val="21"/>
        </w:rPr>
        <w:t xml:space="preserve"> [Lecture slides, Week 13]. MKTG3112 Marketing Communications, The University of Sydney.</w:t>
      </w:r>
    </w:p>
    <w:p>
      <w:pPr>
        <w:spacing w:after="120" w:line="276"/>
        <w:ind w:left="720" w:hanging="720"/>
      </w:pPr>
      <w:r>
        <w:rPr>
          <w:sz w:val="21"/>
          <w:szCs w:val="21"/>
        </w:rPr>
        <w:t xml:space="preserve">Bryant, P. (2026e). </w:t>
      </w:r>
      <w:r>
        <w:rPr>
          <w:i/>
          <w:iCs/>
          <w:sz w:val="21"/>
          <w:szCs w:val="21"/>
        </w:rPr>
        <w:t xml:space="preserve">IMC tools II: Support media, direct marketing and influencer marketing</w:t>
      </w:r>
      <w:r>
        <w:rPr>
          <w:sz w:val="21"/>
          <w:szCs w:val="21"/>
        </w:rPr>
        <w:t xml:space="preserve"> [Lecture slides, Week 7]. MKTG3112 Marketing Communications, The University of Sydney.</w:t>
      </w:r>
    </w:p>
    <w:p>
      <w:pPr>
        <w:spacing w:after="120" w:line="276"/>
        <w:ind w:left="720" w:hanging="720"/>
      </w:pPr>
      <w:r>
        <w:rPr>
          <w:sz w:val="21"/>
          <w:szCs w:val="21"/>
        </w:rPr>
        <w:t xml:space="preserve">Bryant, P. (2026f). </w:t>
      </w:r>
      <w:r>
        <w:rPr>
          <w:i/>
          <w:iCs/>
          <w:sz w:val="21"/>
          <w:szCs w:val="21"/>
        </w:rPr>
        <w:t xml:space="preserve">Introduction to marketing communications: Message, story and strategy</w:t>
      </w:r>
      <w:r>
        <w:rPr>
          <w:sz w:val="21"/>
          <w:szCs w:val="21"/>
        </w:rPr>
        <w:t xml:space="preserve"> [Lecture slides, Week 1]. MKTG3112 Marketing Communications, The University of Sydney.</w:t>
      </w:r>
    </w:p>
    <w:p>
      <w:pPr>
        <w:spacing w:after="120" w:line="276"/>
        <w:ind w:left="720" w:hanging="720"/>
      </w:pPr>
      <w:r>
        <w:rPr>
          <w:sz w:val="21"/>
          <w:szCs w:val="21"/>
        </w:rPr>
        <w:t xml:space="preserve">Bryant, P. (2026g). </w:t>
      </w:r>
      <w:r>
        <w:rPr>
          <w:i/>
          <w:iCs/>
          <w:sz w:val="21"/>
          <w:szCs w:val="21"/>
        </w:rPr>
        <w:t xml:space="preserve">Legal, ethical and misleading: IMC and the law</w:t>
      </w:r>
      <w:r>
        <w:rPr>
          <w:sz w:val="21"/>
          <w:szCs w:val="21"/>
        </w:rPr>
        <w:t xml:space="preserve"> [Lecture slides, Week 11]. MKTG3112 Marketing Communications, The University of Sydney.</w:t>
      </w:r>
    </w:p>
    <w:p>
      <w:pPr>
        <w:spacing w:after="120" w:line="276"/>
        <w:ind w:left="720" w:hanging="720"/>
      </w:pPr>
      <w:r>
        <w:rPr>
          <w:sz w:val="21"/>
          <w:szCs w:val="21"/>
        </w:rPr>
        <w:t xml:space="preserve">Bryant, P. (2026h). </w:t>
      </w:r>
      <w:r>
        <w:rPr>
          <w:i/>
          <w:iCs/>
          <w:sz w:val="21"/>
          <w:szCs w:val="21"/>
        </w:rPr>
        <w:t xml:space="preserve">Making a plan 2: The creative brief and creative strategy implementation and development</w:t>
      </w:r>
      <w:r>
        <w:rPr>
          <w:sz w:val="21"/>
          <w:szCs w:val="21"/>
        </w:rPr>
        <w:t xml:space="preserve"> [Lecture slides, Week 5]. MKTG3112 Marketing Communications, The University of Sydney.</w:t>
      </w:r>
    </w:p>
    <w:p>
      <w:pPr>
        <w:spacing w:after="120" w:line="276"/>
        <w:ind w:left="720" w:hanging="720"/>
      </w:pPr>
      <w:r>
        <w:rPr>
          <w:sz w:val="21"/>
          <w:szCs w:val="21"/>
        </w:rPr>
        <w:t xml:space="preserve">Bryant, P. (2026i). </w:t>
      </w:r>
      <w:r>
        <w:rPr>
          <w:i/>
          <w:iCs/>
          <w:sz w:val="21"/>
          <w:szCs w:val="21"/>
        </w:rPr>
        <w:t xml:space="preserve">Media strategy and IMC tools I: Traditional media planning</w:t>
      </w:r>
      <w:r>
        <w:rPr>
          <w:sz w:val="21"/>
          <w:szCs w:val="21"/>
        </w:rPr>
        <w:t xml:space="preserve"> [Lecture slides, Week 6]. MKTG3112 Marketing Communications, The University of Sydney.</w:t>
      </w:r>
    </w:p>
    <w:p>
      <w:pPr>
        <w:spacing w:after="120" w:line="276"/>
        <w:ind w:left="720" w:hanging="720"/>
      </w:pPr>
      <w:r>
        <w:rPr>
          <w:sz w:val="21"/>
          <w:szCs w:val="21"/>
        </w:rPr>
        <w:t xml:space="preserve">Bryant, P. (2026j). </w:t>
      </w:r>
      <w:r>
        <w:rPr>
          <w:i/>
          <w:iCs/>
          <w:sz w:val="21"/>
          <w:szCs w:val="21"/>
        </w:rPr>
        <w:t xml:space="preserve">Media strategy and IMC tools IV: The personal touch of sales promotion, public relations and publicity</w:t>
      </w:r>
      <w:r>
        <w:rPr>
          <w:sz w:val="21"/>
          <w:szCs w:val="21"/>
        </w:rPr>
        <w:t xml:space="preserve"> [Lecture slides, Week 9]. MKTG3112 Marketing Communications, The University of Sydney.</w:t>
      </w:r>
    </w:p>
    <w:p>
      <w:pPr>
        <w:spacing w:after="120" w:line="276"/>
        <w:ind w:left="720" w:hanging="720"/>
      </w:pPr>
      <w:r>
        <w:rPr>
          <w:sz w:val="21"/>
          <w:szCs w:val="21"/>
        </w:rPr>
        <w:t xml:space="preserve">Bryant, P. (2026k). </w:t>
      </w:r>
      <w:r>
        <w:rPr>
          <w:i/>
          <w:iCs/>
          <w:sz w:val="21"/>
          <w:szCs w:val="21"/>
        </w:rPr>
        <w:t xml:space="preserve">Talking about a…: The communication process</w:t>
      </w:r>
      <w:r>
        <w:rPr>
          <w:sz w:val="21"/>
          <w:szCs w:val="21"/>
        </w:rPr>
        <w:t xml:space="preserve"> [Lecture slides, Week 3]. MKTG3112 Marketing Communications, The University of Sydney.</w:t>
      </w:r>
    </w:p>
    <w:p>
      <w:pPr>
        <w:spacing w:after="120" w:line="276"/>
        <w:ind w:left="720" w:hanging="720"/>
      </w:pPr>
      <w:r>
        <w:rPr>
          <w:sz w:val="21"/>
          <w:szCs w:val="21"/>
        </w:rPr>
        <w:t xml:space="preserve">Bryant, P. (2026l). </w:t>
      </w:r>
      <w:r>
        <w:rPr>
          <w:i/>
          <w:iCs/>
          <w:sz w:val="21"/>
          <w:szCs w:val="21"/>
        </w:rPr>
        <w:t xml:space="preserve">Top of the world: Global IMC strategy</w:t>
      </w:r>
      <w:r>
        <w:rPr>
          <w:sz w:val="21"/>
          <w:szCs w:val="21"/>
        </w:rPr>
        <w:t xml:space="preserve"> [Lecture slides, Week 12]. MKTG3112 Marketing Communications, The University of Sydney.</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(2025a). Lorna Jane's profit doubles thanks to strong demand for athletic clothing. </w:t>
      </w:r>
      <w:r>
        <w:rPr>
          <w:i/>
          <w:iCs/>
          <w:sz w:val="21"/>
          <w:szCs w:val="21"/>
        </w:rPr>
        <w:t xml:space="preserve">Inside Retail</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(2025b). </w:t>
      </w:r>
      <w:r>
        <w:rPr>
          <w:sz w:val="21"/>
          <w:szCs w:val="21"/>
          <w:highlight w:val="yellow"/>
          <w:highlightCs w:val="yellow"/>
        </w:rPr>
        <w:t xml:space="preserve">[Article title]</w:t>
      </w:r>
      <w:r>
        <w:rPr>
          <w:sz w:val="21"/>
          <w:szCs w:val="21"/>
        </w:rPr>
        <w:t xml:space="preserve">. </w:t>
      </w:r>
      <w:r>
        <w:rPr>
          <w:i/>
          <w:iCs/>
          <w:sz w:val="21"/>
          <w:szCs w:val="21"/>
          <w:highlight w:val="yellow"/>
          <w:highlightCs w:val="yellow"/>
        </w:rPr>
        <w:t xml:space="preserve">[Publication]</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Danziger, P. N. (2026). </w:t>
      </w:r>
      <w:r>
        <w:rPr>
          <w:sz w:val="21"/>
          <w:szCs w:val="21"/>
          <w:highlight w:val="yellow"/>
          <w:highlightCs w:val="yellow"/>
        </w:rPr>
        <w:t xml:space="preserve">[Article title]</w:t>
      </w:r>
      <w:r>
        <w:rPr>
          <w:sz w:val="21"/>
          <w:szCs w:val="21"/>
        </w:rPr>
        <w:t xml:space="preserve">. </w:t>
      </w:r>
      <w:r>
        <w:rPr>
          <w:i/>
          <w:iCs/>
          <w:sz w:val="21"/>
          <w:szCs w:val="21"/>
        </w:rPr>
        <w:t xml:space="preserve">Forbes</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Lanoue, S. (2025, December 6). </w:t>
      </w:r>
      <w:r>
        <w:rPr>
          <w:sz w:val="21"/>
          <w:szCs w:val="21"/>
          <w:highlight w:val="yellow"/>
          <w:highlightCs w:val="yellow"/>
        </w:rPr>
        <w:t xml:space="preserve">[Article title]</w:t>
      </w:r>
      <w:r>
        <w:rPr>
          <w:sz w:val="21"/>
          <w:szCs w:val="21"/>
        </w:rPr>
        <w:t xml:space="preserve">. </w:t>
      </w:r>
      <w:r>
        <w:rPr>
          <w:i/>
          <w:iCs/>
          <w:sz w:val="21"/>
          <w:szCs w:val="21"/>
        </w:rPr>
        <w:t xml:space="preserve">Apart Style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OpenPR. (2026). </w:t>
      </w:r>
      <w:r>
        <w:rPr>
          <w:sz w:val="21"/>
          <w:szCs w:val="21"/>
          <w:highlight w:val="yellow"/>
          <w:highlightCs w:val="yellow"/>
        </w:rPr>
        <w:t xml:space="preserve">[Article title]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Pedestrian. (2026). </w:t>
      </w:r>
      <w:r>
        <w:rPr>
          <w:sz w:val="21"/>
          <w:szCs w:val="21"/>
          <w:highlight w:val="yellow"/>
          <w:highlightCs w:val="yellow"/>
        </w:rPr>
        <w:t xml:space="preserve">[Article title]</w:t>
      </w:r>
      <w:r>
        <w:rPr>
          <w:sz w:val="21"/>
          <w:szCs w:val="21"/>
        </w:rPr>
        <w:t xml:space="preserve">. </w:t>
      </w:r>
      <w:r>
        <w:rPr>
          <w:i/>
          <w:iCs/>
          <w:sz w:val="21"/>
          <w:szCs w:val="21"/>
        </w:rPr>
        <w:t xml:space="preserve">Pedestrian.TV</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Russh. (2026). </w:t>
      </w:r>
      <w:r>
        <w:rPr>
          <w:sz w:val="21"/>
          <w:szCs w:val="21"/>
          <w:highlight w:val="yellow"/>
          <w:highlightCs w:val="yellow"/>
        </w:rPr>
        <w:t xml:space="preserve">[Article title]</w:t>
      </w:r>
      <w:r>
        <w:rPr>
          <w:sz w:val="21"/>
          <w:szCs w:val="21"/>
        </w:rPr>
        <w:t xml:space="preserve">. </w:t>
      </w:r>
      <w:r>
        <w:rPr>
          <w:i/>
          <w:iCs/>
          <w:sz w:val="21"/>
          <w:szCs w:val="21"/>
        </w:rPr>
        <w:t xml:space="preserve">Russh</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Rydzek, </w:t>
      </w:r>
      <w:r>
        <w:rPr>
          <w:sz w:val="21"/>
          <w:szCs w:val="21"/>
          <w:highlight w:val="yellow"/>
          <w:highlightCs w:val="yellow"/>
        </w:rPr>
        <w:t xml:space="preserve">[Initial]</w:t>
      </w:r>
      <w:r>
        <w:rPr>
          <w:sz w:val="21"/>
          <w:szCs w:val="21"/>
        </w:rPr>
        <w:t xml:space="preserve">. (2026, June). Alo Yoga owners eye IPO or sale after offloading wholesale T-shirt business. </w:t>
      </w:r>
      <w:r>
        <w:rPr>
          <w:i/>
          <w:iCs/>
          <w:sz w:val="21"/>
          <w:szCs w:val="21"/>
          <w:highlight w:val="yellow"/>
          <w:highlightCs w:val="yellow"/>
        </w:rPr>
        <w:t xml:space="preserve">TheIndustry.fashion</w:t>
      </w:r>
      <w:r>
        <w:rPr>
          <w:sz w:val="21"/>
          <w:szCs w:val="21"/>
        </w:rPr>
        <w:t xml:space="preserve">. https://www.theindustry.fashion/alo-yoga-owners-eye-ipo-or-sale-after-offloading-wholesale-t-shirt-business/</w:t>
      </w:r>
    </w:p>
    <w:p>
      <w:pPr>
        <w:spacing w:after="120" w:line="276"/>
        <w:ind w:left="720" w:hanging="720"/>
      </w:pPr>
      <w:r>
        <w:rPr>
          <w:sz w:val="21"/>
          <w:szCs w:val="21"/>
        </w:rPr>
        <w:t xml:space="preserve">Salpini, C. (2025a).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Salpini, C. (2025b).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36Kr. (2026). </w:t>
      </w:r>
      <w:r>
        <w:rPr>
          <w:sz w:val="21"/>
          <w:szCs w:val="21"/>
          <w:highlight w:val="yellow"/>
          <w:highlightCs w:val="yellow"/>
        </w:rPr>
        <w:t xml:space="preserve">[Article title]</w:t>
      </w:r>
      <w:r>
        <w:rPr>
          <w:sz w:val="21"/>
          <w:szCs w:val="21"/>
        </w:rPr>
        <w:t xml:space="preserve">. </w:t>
      </w:r>
      <w:r>
        <w:rPr>
          <w:i/>
          <w:iCs/>
          <w:sz w:val="21"/>
          <w:szCs w:val="21"/>
        </w:rPr>
        <w:t xml:space="preserve">36Kr</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r>
        <w:br w:type="page"/>
      </w:r>
    </w:p>
    <w:p>
      <w:pPr>
        <w:pStyle w:val="Heading1"/>
      </w:pPr>
      <w:r>
        <w:t xml:space="preserve">Appendix A: Google Trends Search Interest,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New South Wales,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Values are indexed to 100 at the period's peak and show relative, not absolute, search volume.</w:t>
      </w:r>
    </w:p>
    <w:p>
      <w:pPr>
        <w:pStyle w:val="ListParagraph"/>
        <w:numPr>
          <w:ilvl w:val="0"/>
          <w:numId w:val="3"/>
        </w:numPr>
        <w:spacing w:after="100" w:line="288"/>
      </w:pPr>
      <w:r>
        <w:t xml:space="preserve">Average interest: Lululemon 55, Lorna Jane 21, Alo 20. Alo matched Australia's best-known local brand within months, but Lululemon's interest is almost three times Alo's.</w:t>
      </w:r>
    </w:p>
    <w:p>
      <w:pPr>
        <w:pStyle w:val="ListParagraph"/>
        <w:numPr>
          <w:ilvl w:val="0"/>
          <w:numId w:val="3"/>
        </w:numPr>
        <w:spacing w:after="100" w:line="288"/>
      </w:pPr>
      <w:r>
        <w:t xml:space="preserve">Alo peaked at about 46 at the May opening and fluctuated through August, then settled at about 11 from September, roughly its pre-opening level.</w:t>
      </w:r>
    </w:p>
    <w:p>
      <w:pPr>
        <w:pStyle w:val="ListParagraph"/>
        <w:numPr>
          <w:ilvl w:val="0"/>
          <w:numId w:val="3"/>
        </w:numPr>
        <w:spacing w:after="100" w:line="288"/>
      </w:pPr>
      <w:r>
        <w:t xml:space="preserve">The Galeries opening (11 September 2026) produced no visible lift, which supports Challenge 2.</w:t>
      </w:r>
    </w:p>
    <w:p>
      <w:pPr>
        <w:pStyle w:val="ListParagraph"/>
        <w:numPr>
          <w:ilvl w:val="0"/>
          <w:numId w:val="3"/>
        </w:numPr>
        <w:spacing w:after="100" w:line="288"/>
      </w:pPr>
      <w:r>
        <w:t xml:space="preserve">Limitation: Google Trends is a relative search index, not a measure of awareness or sales, so it is used alongside the surveys in Section 6.</w:t>
      </w:r>
    </w:p>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a49d250bf5e37ea8617edda0a7d42f44b60f48c.png"/><Relationship Id="rId9" Type="http://schemas.openxmlformats.org/officeDocument/2006/relationships/image" Target="media/b9e24170045a114b5f6ae9b9f510f07f7138d613.png"/><Relationship Id="rId10" Type="http://schemas.openxmlformats.org/officeDocument/2006/relationships/image" Target="media/251cf7cf691502cade827197777420f5e30e5edb.png"/><Relationship Id="rId11" Type="http://schemas.openxmlformats.org/officeDocument/2006/relationships/image" Target="media/8400321a5b1f402763dcc1205b98ca74ed8c893a.png"/><Relationship Id="rId12" Type="http://schemas.openxmlformats.org/officeDocument/2006/relationships/image" Target="media/32113ec9e20c0b59f4691e961d1b66aa732a9a51.png"/><Relationship Id="rId13" Type="http://schemas.openxmlformats.org/officeDocument/2006/relationships/image" Target="media/c922961b636046e7b5f4fc7277013986773dc119.png"/><Relationship Id="rId14" Type="http://schemas.openxmlformats.org/officeDocument/2006/relationships/image" Target="media/bf173d681432b9138363e20922b83ff472f3d283.png"/><Relationship Id="rId15" Type="http://schemas.openxmlformats.org/officeDocument/2006/relationships/image" Target="media/5c43a8448e43bca6e7d45d9eba06824600bd3d9a.png"/><Relationship Id="rId16" Type="http://schemas.openxmlformats.org/officeDocument/2006/relationships/image" Target="media/5d332805e50cc95923ec6202bcce8c9e83d5d468.png"/><Relationship Id="rId17" Type="http://schemas.openxmlformats.org/officeDocument/2006/relationships/image" Target="media/3aabf33ea7383cb661ff63649044764cde63b3b7.png"/><Relationship Id="rId18" Type="http://schemas.openxmlformats.org/officeDocument/2006/relationships/image" Target="media/6122e472b4c8a2d796f4cda4ee950f2da8fc6e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2026-10-28T22:29:49.644Z</dcterms:created>
  <dcterms:modified xsi:type="dcterms:W3CDTF">2026-10-28T22:29:49.647Z</dcterms:modified>
</cp:coreProperties>
</file>

<file path=docProps/custom.xml><?xml version="1.0" encoding="utf-8"?>
<Properties xmlns="http://schemas.openxmlformats.org/officeDocument/2006/custom-properties" xmlns:vt="http://schemas.openxmlformats.org/officeDocument/2006/docPropsVTypes"/>
</file>