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600"/>
      </w:pPr>
      <w:r>
        <w:rPr>
          <w:b/>
          <w:bCs/>
          <w:color w:val="5B6770"/>
          <w:sz w:val="20"/>
          <w:szCs w:val="20"/>
        </w:rPr>
        <w:t xml:space="preserve">MKTG3112 GROUP REPORT · INTEGRATED MARKETING COMMUNICATIONS BRIEF</w:t>
      </w:r>
    </w:p>
    <w:p>
      <w:pPr>
        <w:spacing w:after="120"/>
      </w:pPr>
      <w:r>
        <w:rPr>
          <w:b/>
          <w:bCs/>
          <w:color w:val="1E2A32"/>
          <w:sz w:val="64"/>
          <w:szCs w:val="64"/>
        </w:rPr>
        <w:t xml:space="preserve">Alo in Australia</w:t>
      </w:r>
    </w:p>
    <w:p>
      <w:pPr>
        <w:spacing w:after="480"/>
      </w:pPr>
      <w:r>
        <w:rPr>
          <w:color w:val="8C6D3F"/>
          <w:sz w:val="36"/>
          <w:szCs w:val="36"/>
        </w:rPr>
        <w:t xml:space="preserve">Mat to Moment: One Set, Made for the Whole Day</w:t>
      </w:r>
    </w:p>
    <w:p>
      <w:pPr>
        <w:spacing w:after="80"/>
      </w:pPr>
      <w:r>
        <w:rPr>
          <w:sz w:val="24"/>
          <w:szCs w:val="24"/>
        </w:rPr>
        <w:t xml:space="preserve">A 12-week Sydney campaign · 4 January – 28 March 2027 · Budget A$250,000</w:t>
      </w:r>
    </w:p>
    <w:p>
      <w:pPr>
        <w:spacing w:after="80"/>
      </w:pPr>
      <w:r>
        <w:rPr>
          <w:sz w:val="24"/>
          <w:szCs w:val="24"/>
        </w:rPr>
        <w:t xml:space="preserve">Prepared for: Alo Australia</w:t>
      </w:r>
    </w:p>
    <w:p>
      <w:pPr>
        <w:spacing w:after="80"/>
      </w:pPr>
      <w:r>
        <w:rPr>
          <w:sz w:val="24"/>
          <w:szCs w:val="24"/>
          <w:highlight w:val="yellow"/>
          <w:highlightCs w:val="yellow"/>
        </w:rPr>
        <w:t xml:space="preserve">Prepared by: [Group name and student numbers]</w:t>
      </w:r>
    </w:p>
    <w:p>
      <w:r>
        <w:br w:type="page"/>
      </w:r>
    </w:p>
    <w:p>
      <w:pPr>
        <w:spacing w:after="200"/>
      </w:pPr>
      <w:r>
        <w:rPr>
          <w:b/>
          <w:bCs/>
          <w:sz w:val="32"/>
          <w:szCs w:val="32"/>
        </w:rP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Situation Analysis</w:t>
      </w:r>
    </w:p>
    <w:p>
      <w:pPr>
        <w:pStyle w:val="Heading2"/>
      </w:pPr>
      <w:r>
        <w:t xml:space="preserve">1.1 Company Overview</w:t>
      </w:r>
    </w:p>
    <w:p>
      <w:pPr>
        <w:spacing w:after="160" w:line="288"/>
      </w:pPr>
      <w:r>
        <w:t xml:space="preserve">Alo Yoga is a Los Angeles premium activewear and lifestyle brand founded in 2007, with around 170 stores worldwide (SGB Media, 2026) and estimated 2025 sales near US$2 billion (Modaes, 2026). Alo opened at Chatswood Chase, opposite Lululemon, in May 2026 (Inside Retail, 2026), and at The Galeries in the CBD in September, with Bondi Junction planned (Concrete Playground, 2026). Australian leggings and bras cost roughly A$100–200 (Concrete Playground, 2026). Its premium, fashion-led image was built on social media and celebrity visibility (Inside Retail, 2026). Brand equity depends on awareness and favourable associations (Keller, 1993), and IMC is what converts brand identity into local equity (Keller, 2001). In Sydney, that conversion has barely begun. Alo's strengths are a coherent brand image and control of its own retail experience; its weaknesses here are a small store base, no local heritage and prices above an established leader.</w:t>
      </w:r>
    </w:p>
    <w:p>
      <w:pPr>
        <w:pStyle w:val="Heading2"/>
      </w:pPr>
      <w:r>
        <w:t xml:space="preserve">1.2 Competitor Analysis</w:t>
      </w:r>
    </w:p>
    <w:p>
      <w:pPr>
        <w:keepNext/>
        <w:spacing w:after="40" w:before="200"/>
      </w:pPr>
      <w:r>
        <w:rPr>
          <w:b/>
          <w:bCs/>
        </w:rPr>
        <w:t xml:space="preserve">Table 1</w:t>
      </w:r>
    </w:p>
    <w:p>
      <w:pPr>
        <w:keepNext/>
        <w:spacing w:after="100"/>
      </w:pPr>
      <w:r>
        <w:rPr>
          <w:i/>
          <w:iCs/>
        </w:rPr>
        <w:t xml:space="preserve">Competitor Evaluation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35"/>
        <w:gridCol w:w="3084"/>
        <w:gridCol w:w="3084"/>
        <w:gridCol w:w="1735"/>
      </w:tblGrid>
      <w:tr>
        <w:trPr>
          <w:tblHeader/>
        </w:trPr>
        <w:tc>
          <w:tcPr>
            <w:tcW w:type="dxa" w:w="1735"/>
            <w:tcBorders>
              <w:top w:val="single" w:color="C9CED2" w:sz="4"/>
              <w:left w:val="single" w:color="C9CED2" w:sz="4"/>
              <w:bottom w:val="single" w:color="C9CED2" w:sz="4"/>
              <w:right w:val="single" w:color="C9CED2" w:sz="4"/>
            </w:tcBorders>
            <w:shd w:fill="1E2A32" w:color="auto" w:val="clear"/>
            <w:tcMar>
              <w:top w:type="dxa" w:w="60"/>
              <w:left w:type="dxa" w:w="90"/>
              <w:bottom w:type="dxa" w:w="60"/>
              <w:right w:type="dxa" w:w="90"/>
            </w:tcMar>
          </w:tcPr>
          <w:p>
            <w:pPr>
              <w:spacing w:after="0" w:line="252"/>
            </w:pPr>
            <w:r>
              <w:rPr>
                <w:b/>
                <w:bCs/>
                <w:color w:val="FFFFFF"/>
                <w:sz w:val="17"/>
                <w:szCs w:val="17"/>
              </w:rPr>
              <w:t xml:space="preserve">Competitor</w:t>
            </w:r>
          </w:p>
        </w:tc>
        <w:tc>
          <w:tcPr>
            <w:tcW w:type="dxa" w:w="3084"/>
            <w:tcBorders>
              <w:top w:val="single" w:color="C9CED2" w:sz="4"/>
              <w:left w:val="single" w:color="C9CED2" w:sz="4"/>
              <w:bottom w:val="single" w:color="C9CED2" w:sz="4"/>
              <w:right w:val="single" w:color="C9CED2" w:sz="4"/>
            </w:tcBorders>
            <w:shd w:fill="1E2A32" w:color="auto" w:val="clear"/>
            <w:tcMar>
              <w:top w:type="dxa" w:w="60"/>
              <w:left w:type="dxa" w:w="90"/>
              <w:bottom w:type="dxa" w:w="60"/>
              <w:right w:type="dxa" w:w="90"/>
            </w:tcMar>
          </w:tcPr>
          <w:p>
            <w:pPr>
              <w:spacing w:after="0" w:line="252"/>
            </w:pPr>
            <w:r>
              <w:rPr>
                <w:b/>
                <w:bCs/>
                <w:color w:val="FFFFFF"/>
                <w:sz w:val="17"/>
                <w:szCs w:val="17"/>
              </w:rPr>
              <w:t xml:space="preserve">Strengths</w:t>
            </w:r>
          </w:p>
        </w:tc>
        <w:tc>
          <w:tcPr>
            <w:tcW w:type="dxa" w:w="3084"/>
            <w:tcBorders>
              <w:top w:val="single" w:color="C9CED2" w:sz="4"/>
              <w:left w:val="single" w:color="C9CED2" w:sz="4"/>
              <w:bottom w:val="single" w:color="C9CED2" w:sz="4"/>
              <w:right w:val="single" w:color="C9CED2" w:sz="4"/>
            </w:tcBorders>
            <w:shd w:fill="1E2A32" w:color="auto" w:val="clear"/>
            <w:tcMar>
              <w:top w:type="dxa" w:w="60"/>
              <w:left w:type="dxa" w:w="90"/>
              <w:bottom w:type="dxa" w:w="60"/>
              <w:right w:type="dxa" w:w="90"/>
            </w:tcMar>
          </w:tcPr>
          <w:p>
            <w:pPr>
              <w:spacing w:after="0" w:line="252"/>
            </w:pPr>
            <w:r>
              <w:rPr>
                <w:b/>
                <w:bCs/>
                <w:color w:val="FFFFFF"/>
                <w:sz w:val="17"/>
                <w:szCs w:val="17"/>
              </w:rPr>
              <w:t xml:space="preserve">Weaknesses</w:t>
            </w:r>
          </w:p>
        </w:tc>
        <w:tc>
          <w:tcPr>
            <w:tcW w:type="dxa" w:w="1735"/>
            <w:tcBorders>
              <w:top w:val="single" w:color="C9CED2" w:sz="4"/>
              <w:left w:val="single" w:color="C9CED2" w:sz="4"/>
              <w:bottom w:val="single" w:color="C9CED2" w:sz="4"/>
              <w:right w:val="single" w:color="C9CED2" w:sz="4"/>
            </w:tcBorders>
            <w:shd w:fill="1E2A32" w:color="auto" w:val="clear"/>
            <w:tcMar>
              <w:top w:type="dxa" w:w="60"/>
              <w:left w:type="dxa" w:w="90"/>
              <w:bottom w:type="dxa" w:w="60"/>
              <w:right w:type="dxa" w:w="90"/>
            </w:tcMar>
          </w:tcPr>
          <w:p>
            <w:pPr>
              <w:spacing w:after="0" w:line="252"/>
            </w:pPr>
            <w:r>
              <w:rPr>
                <w:b/>
                <w:bCs/>
                <w:color w:val="FFFFFF"/>
                <w:sz w:val="17"/>
                <w:szCs w:val="17"/>
              </w:rPr>
              <w:t xml:space="preserve">Threat</w:t>
            </w:r>
          </w:p>
        </w:tc>
      </w:tr>
      <w:tr>
        <w:trPr>
          <w:cantSplit/>
        </w:trPr>
        <w:tc>
          <w:tcPr>
            <w:tcW w:type="dxa" w:w="1735"/>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bCs/>
                <w:color w:val="1E2A32"/>
                <w:sz w:val="17"/>
                <w:szCs w:val="17"/>
              </w:rPr>
              <w:t xml:space="preserve">Lululemon (primary)</w:t>
            </w:r>
          </w:p>
        </w:tc>
        <w:tc>
          <w:tcPr>
            <w:tcW w:type="dxa" w:w="3084"/>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Ambassador community model (lululemon athletica, n.d.); ~3× Alo's search interest</w:t>
            </w:r>
          </w:p>
        </w:tc>
        <w:tc>
          <w:tcPr>
            <w:tcW w:type="dxa" w:w="3084"/>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"Too predictable"; losing US share to Alo (Salpini, 2025)</w:t>
            </w:r>
          </w:p>
        </w:tc>
        <w:tc>
          <w:tcPr>
            <w:tcW w:type="dxa" w:w="1735"/>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High</w:t>
            </w:r>
          </w:p>
        </w:tc>
      </w:tr>
      <w:tr>
        <w:trPr>
          <w:cantSplit/>
        </w:trPr>
        <w:tc>
          <w:tcPr>
            <w:tcW w:type="dxa" w:w="1735"/>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bCs/>
                <w:color w:val="1E2A32"/>
                <w:sz w:val="17"/>
                <w:szCs w:val="17"/>
              </w:rPr>
              <w:t xml:space="preserve">Lorna Jane (primary)</w:t>
            </w:r>
          </w:p>
        </w:tc>
        <w:tc>
          <w:tcPr>
            <w:tcW w:type="dxa" w:w="3084"/>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Local loyalty; profit doubled to A$21.3m (Inside Retail, 2025)</w:t>
            </w:r>
          </w:p>
        </w:tc>
        <w:tc>
          <w:tcPr>
            <w:tcW w:type="dxa" w:w="3084"/>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A$5m penalty for false claims (Australian Competition and Consumer Commission [ACCC], 2021)</w:t>
            </w:r>
          </w:p>
        </w:tc>
        <w:tc>
          <w:tcPr>
            <w:tcW w:type="dxa" w:w="1735"/>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Medium</w:t>
            </w:r>
          </w:p>
        </w:tc>
      </w:tr>
      <w:tr>
        <w:trPr>
          <w:cantSplit/>
        </w:trPr>
        <w:tc>
          <w:tcPr>
            <w:tcW w:type="dxa" w:w="1735"/>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bCs/>
                <w:color w:val="1E2A32"/>
                <w:sz w:val="17"/>
                <w:szCs w:val="17"/>
              </w:rPr>
              <w:t xml:space="preserve">P.E Nation, Aje Athletica (primary)</w:t>
            </w:r>
          </w:p>
        </w:tc>
        <w:tc>
          <w:tcPr>
            <w:tcW w:type="dxa" w:w="3084"/>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Fashion-led local labels</w:t>
            </w:r>
          </w:p>
        </w:tc>
        <w:tc>
          <w:tcPr>
            <w:tcW w:type="dxa" w:w="3084"/>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Smaller ranges and store networks</w:t>
            </w:r>
          </w:p>
        </w:tc>
        <w:tc>
          <w:tcPr>
            <w:tcW w:type="dxa" w:w="1735"/>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Medium</w:t>
            </w:r>
          </w:p>
        </w:tc>
      </w:tr>
      <w:tr>
        <w:trPr>
          <w:cantSplit/>
        </w:trPr>
        <w:tc>
          <w:tcPr>
            <w:tcW w:type="dxa" w:w="1735"/>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bCs/>
                <w:color w:val="1E2A32"/>
                <w:sz w:val="17"/>
                <w:szCs w:val="17"/>
              </w:rPr>
              <w:t xml:space="preserve">Nike, Adidas (secondary)</w:t>
            </w:r>
          </w:p>
        </w:tc>
        <w:tc>
          <w:tcPr>
            <w:tcW w:type="dxa" w:w="3084"/>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Scale; Adidas rose to #2 in global reputation (RepTrak, 2026)</w:t>
            </w:r>
          </w:p>
        </w:tc>
        <w:tc>
          <w:tcPr>
            <w:tcW w:type="dxa" w:w="3084"/>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Nike fell to #50 (RepTrak, 2026); performance-led</w:t>
            </w:r>
          </w:p>
        </w:tc>
        <w:tc>
          <w:tcPr>
            <w:tcW w:type="dxa" w:w="1735"/>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Low</w:t>
            </w:r>
          </w:p>
        </w:tc>
      </w:tr>
      <w:tr>
        <w:trPr>
          <w:cantSplit/>
        </w:trPr>
        <w:tc>
          <w:tcPr>
            <w:tcW w:type="dxa" w:w="1735"/>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bCs/>
                <w:color w:val="1E2A32"/>
                <w:sz w:val="17"/>
                <w:szCs w:val="17"/>
              </w:rPr>
              <w:t xml:space="preserve">Gymshark, LSKD (secondary)</w:t>
            </w:r>
          </w:p>
        </w:tc>
        <w:tc>
          <w:tcPr>
            <w:tcW w:type="dxa" w:w="3084"/>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Lower price points</w:t>
            </w:r>
          </w:p>
        </w:tc>
        <w:tc>
          <w:tcPr>
            <w:tcW w:type="dxa" w:w="3084"/>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Not premium</w:t>
            </w:r>
          </w:p>
        </w:tc>
        <w:tc>
          <w:tcPr>
            <w:tcW w:type="dxa" w:w="1735"/>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Low</w:t>
            </w:r>
          </w:p>
        </w:tc>
      </w:tr>
    </w:tbl>
    <w:p>
      <w:pPr>
        <w:spacing w:after="240" w:before="60"/>
      </w:pPr>
      <w:r>
        <w:rPr>
          <w:i/>
          <w:iCs/>
          <w:color w:val="5B6770"/>
          <w:sz w:val="19"/>
          <w:szCs w:val="19"/>
        </w:rPr>
        <w:t xml:space="preserve">Note. </w:t>
      </w:r>
      <w:r>
        <w:rPr>
          <w:color w:val="5B6770"/>
          <w:sz w:val="19"/>
          <w:szCs w:val="19"/>
        </w:rPr>
        <w:t xml:space="preserve">Unreferenced entries are agency assessments.</w:t>
      </w:r>
    </w:p>
    <w:p>
      <w:pPr>
        <w:spacing w:after="160" w:line="288"/>
      </w:pPr>
      <w:r>
        <w:t xml:space="preserve">Lululemon's search interest is almost three times Alo's (Appendix A), and larger brands enjoy more buyers and more loyalty (Sharp, 2010). Alo therefore cannot argue loyalists away; it must become easier to think of and to find. Competitor weaknesses cluster around dated, functional design or mid-market focus, which leaves premium, design-led, all-day wear unclaimed (see the positioning map in Appendix B). Fashion alone is not defensible, because P.E Nation sits nearby with local credentials. Fashion plus proven studio performance, made locally relevant, is. Lululemon's recent share losses to Alo are US evidence (Salpini, 2025), so the same shift cannot be assumed in Sydney. With young consumers under financial pressure (Deloitte, 2026), cheaper brands such as Gymshark become the fallback whenever Alo's premium is not justified.</w:t>
      </w:r>
    </w:p>
    <w:p>
      <w:pPr>
        <w:pStyle w:val="Heading2"/>
      </w:pPr>
      <w:r>
        <w:t xml:space="preserve">1.3 Target Audience</w:t>
      </w:r>
    </w:p>
    <w:p>
      <w:pPr>
        <w:spacing w:after="160" w:line="288"/>
      </w:pPr>
      <w:r>
        <w:t xml:space="preserve">Of three segments (Smith, 1956; see Appendix C), we target </w:t>
      </w:r>
      <w:r>
        <w:rPr>
          <w:b/>
          <w:bCs/>
        </w:rPr>
        <w:t xml:space="preserve">style-conscious women aged 22–34 in Greater Sydney</w:t>
      </w:r>
      <w:r>
        <w:t xml:space="preserve"> who do Pilates, yoga or gym and use Instagram and TikTok daily. Affluent women aged 35–50 are loyal to Lululemon and Lorna Jane and hard to switch, and men are a small part of Alo's range, so both are reached only as spillover. The chosen segment buys activewear as identity: possessions extend the self (Belk, 1988), and Alo's appeal is built on exactly that social visibility (Inside Retail, 2026). The segment is substantial: Pilates alone has about 585,000 adult Australian participants, around 90% of them women (Sport Australia, 2019). It spans older Gen Z, who prize authenticity (Francis &amp; Hoefel, 2018), and younger Millennials, so the campaign pairs unpolished creator content with bookable experiences and audio. Consumers also build self-brand connections through brands their reference groups use (Escalas &amp; Bettman, 2005); for this segment, that group is the studio class. Critically, more than half of Gen Z and Millennials have delayed major decisions because of financial pressure (Deloitte, 2026). The audience most drawn to Alo is also the most price-stretched, so price justification ranks first.</w:t>
      </w:r>
    </w:p>
    <w:p>
      <w:pPr>
        <w:pStyle w:val="Heading2"/>
      </w:pPr>
      <w:r>
        <w:t xml:space="preserve">1.4 Communication Challenges (Prioritised)</w:t>
      </w:r>
    </w:p>
    <w:p>
      <w:pPr>
        <w:spacing w:after="160" w:line="288"/>
      </w:pPr>
      <w:r>
        <w:t xml:space="preserve">Challenges are ranked by how directly each blocks a store visit.</w:t>
      </w:r>
    </w:p>
    <w:p>
      <w:pPr>
        <w:pStyle w:val="ListParagraph"/>
        <w:numPr>
          <w:ilvl w:val="0"/>
          <w:numId w:val="2"/>
        </w:numPr>
        <w:spacing w:after="100" w:line="288"/>
      </w:pPr>
      <w:r>
        <w:rPr>
          <w:b/>
          <w:bCs/>
        </w:rPr>
        <w:t xml:space="preserve">Justifying the premium price</w:t>
      </w:r>
      <w:r>
        <w:t xml:space="preserve">: luxury needs meaning, not features (Kapferer &amp; Bastien, 2009).</w:t>
      </w:r>
    </w:p>
    <w:p>
      <w:pPr>
        <w:pStyle w:val="ListParagraph"/>
        <w:numPr>
          <w:ilvl w:val="0"/>
          <w:numId w:val="2"/>
        </w:numPr>
        <w:spacing w:after="100" w:line="288"/>
      </w:pPr>
      <w:r>
        <w:rPr>
          <w:b/>
          <w:bCs/>
        </w:rPr>
        <w:t xml:space="preserve">Sustaining awareness</w:t>
      </w:r>
      <w:r>
        <w:t xml:space="preserve">: interest has fallen to pre-opening levels, and The Galeries opening produced no lift (Appendix A).</w:t>
      </w:r>
    </w:p>
    <w:p>
      <w:pPr>
        <w:pStyle w:val="ListParagraph"/>
        <w:numPr>
          <w:ilvl w:val="0"/>
          <w:numId w:val="2"/>
        </w:numPr>
        <w:spacing w:after="100" w:line="288"/>
      </w:pPr>
      <w:r>
        <w:rPr>
          <w:b/>
          <w:bCs/>
        </w:rPr>
        <w:t xml:space="preserve">Limited reach</w:t>
      </w:r>
      <w:r>
        <w:t xml:space="preserve">: two stores (Concrete Playground, 2026) cannot cover Greater Sydney, so media must bring people to them.</w:t>
      </w:r>
    </w:p>
    <w:p>
      <w:pPr>
        <w:pStyle w:val="ListParagraph"/>
        <w:numPr>
          <w:ilvl w:val="0"/>
          <w:numId w:val="2"/>
        </w:numPr>
        <w:spacing w:after="100" w:line="288"/>
      </w:pPr>
      <w:r>
        <w:rPr>
          <w:b/>
          <w:bCs/>
        </w:rPr>
        <w:t xml:space="preserve">Standing apart from Lululemon</w:t>
      </w:r>
      <w:r>
        <w:t xml:space="preserve">, which already owns "community" through its ambassador model (lululemon athletica, n.d.); a generic community message would strengthen the leader.</w:t>
      </w:r>
    </w:p>
    <w:p>
      <w:pPr>
        <w:pStyle w:val="ListParagraph"/>
        <w:numPr>
          <w:ilvl w:val="0"/>
          <w:numId w:val="2"/>
        </w:numPr>
        <w:spacing w:after="100" w:line="288"/>
      </w:pPr>
      <w:r>
        <w:rPr>
          <w:b/>
          <w:bCs/>
        </w:rPr>
        <w:t xml:space="preserve">Feeling imported</w:t>
      </w:r>
      <w:r>
        <w:t xml:space="preserve">: Alo's fame rests on Los Angeles celebrity (Inside Retail, 2026), which Section 3.1 shows Sydney decodes as distance.</w:t>
      </w:r>
    </w:p>
    <w:p>
      <w:pPr>
        <w:spacing w:after="60"/>
      </w:pPr>
    </w:p>
    <w:p>
      <w:pPr>
        <w:pStyle w:val="Heading1"/>
      </w:pPr>
      <w:r>
        <w:t xml:space="preserve">2. Communication Objectives</w:t>
      </w:r>
    </w:p>
    <w:p>
      <w:pPr>
        <w:keepNext/>
        <w:spacing w:after="40" w:before="200"/>
      </w:pPr>
      <w:r>
        <w:rPr>
          <w:b/>
          <w:bCs/>
        </w:rPr>
        <w:t xml:space="preserve">Table 2</w:t>
      </w:r>
    </w:p>
    <w:p>
      <w:pPr>
        <w:keepNext/>
        <w:spacing w:after="100"/>
      </w:pPr>
      <w:r>
        <w:rPr>
          <w:i/>
          <w:iCs/>
        </w:rPr>
        <w:t xml:space="preserve">DAGMAR Objectives: Segment A, Greater Sydney, 12 Weeks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71"/>
        <w:gridCol w:w="964"/>
        <w:gridCol w:w="1157"/>
        <w:gridCol w:w="4819"/>
        <w:gridCol w:w="964"/>
        <w:gridCol w:w="963"/>
      </w:tblGrid>
      <w:tr>
        <w:trPr>
          <w:tblHeader/>
        </w:trPr>
        <w:tc>
          <w:tcPr>
            <w:tcW w:type="dxa" w:w="771"/>
            <w:tcBorders>
              <w:top w:val="single" w:color="C9CED2" w:sz="4"/>
              <w:left w:val="single" w:color="C9CED2" w:sz="4"/>
              <w:bottom w:val="single" w:color="C9CED2" w:sz="4"/>
              <w:right w:val="single" w:color="C9CED2" w:sz="4"/>
            </w:tcBorders>
            <w:shd w:fill="1E2A32" w:color="auto" w:val="clear"/>
            <w:tcMar>
              <w:top w:type="dxa" w:w="60"/>
              <w:left w:type="dxa" w:w="90"/>
              <w:bottom w:type="dxa" w:w="60"/>
              <w:right w:type="dxa" w:w="90"/>
            </w:tcMar>
          </w:tcPr>
          <w:p>
            <w:pPr>
              <w:spacing w:after="0" w:line="252"/>
            </w:pPr>
            <w:r>
              <w:rPr>
                <w:b/>
                <w:bCs/>
                <w:color w:val="FFFFFF"/>
                <w:sz w:val="17"/>
                <w:szCs w:val="17"/>
              </w:rPr>
              <w:t xml:space="preserve">#</w:t>
            </w:r>
          </w:p>
        </w:tc>
        <w:tc>
          <w:tcPr>
            <w:tcW w:type="dxa" w:w="964"/>
            <w:tcBorders>
              <w:top w:val="single" w:color="C9CED2" w:sz="4"/>
              <w:left w:val="single" w:color="C9CED2" w:sz="4"/>
              <w:bottom w:val="single" w:color="C9CED2" w:sz="4"/>
              <w:right w:val="single" w:color="C9CED2" w:sz="4"/>
            </w:tcBorders>
            <w:shd w:fill="1E2A32" w:color="auto" w:val="clear"/>
            <w:tcMar>
              <w:top w:type="dxa" w:w="60"/>
              <w:left w:type="dxa" w:w="90"/>
              <w:bottom w:type="dxa" w:w="60"/>
              <w:right w:type="dxa" w:w="90"/>
            </w:tcMar>
          </w:tcPr>
          <w:p>
            <w:pPr>
              <w:spacing w:after="0" w:line="252"/>
            </w:pPr>
            <w:r>
              <w:rPr>
                <w:b/>
                <w:bCs/>
                <w:color w:val="FFFFFF"/>
                <w:sz w:val="17"/>
                <w:szCs w:val="17"/>
              </w:rPr>
              <w:t xml:space="preserve">Stage</w:t>
            </w:r>
          </w:p>
        </w:tc>
        <w:tc>
          <w:tcPr>
            <w:tcW w:type="dxa" w:w="1157"/>
            <w:tcBorders>
              <w:top w:val="single" w:color="C9CED2" w:sz="4"/>
              <w:left w:val="single" w:color="C9CED2" w:sz="4"/>
              <w:bottom w:val="single" w:color="C9CED2" w:sz="4"/>
              <w:right w:val="single" w:color="C9CED2" w:sz="4"/>
            </w:tcBorders>
            <w:shd w:fill="1E2A32" w:color="auto" w:val="clear"/>
            <w:tcMar>
              <w:top w:type="dxa" w:w="60"/>
              <w:left w:type="dxa" w:w="90"/>
              <w:bottom w:type="dxa" w:w="60"/>
              <w:right w:type="dxa" w:w="90"/>
            </w:tcMar>
          </w:tcPr>
          <w:p>
            <w:pPr>
              <w:spacing w:after="0" w:line="252"/>
            </w:pPr>
            <w:r>
              <w:rPr>
                <w:b/>
                <w:bCs/>
                <w:color w:val="FFFFFF"/>
                <w:sz w:val="17"/>
                <w:szCs w:val="17"/>
              </w:rPr>
              <w:t xml:space="preserve">Challenge</w:t>
            </w:r>
          </w:p>
        </w:tc>
        <w:tc>
          <w:tcPr>
            <w:tcW w:type="dxa" w:w="4819"/>
            <w:tcBorders>
              <w:top w:val="single" w:color="C9CED2" w:sz="4"/>
              <w:left w:val="single" w:color="C9CED2" w:sz="4"/>
              <w:bottom w:val="single" w:color="C9CED2" w:sz="4"/>
              <w:right w:val="single" w:color="C9CED2" w:sz="4"/>
            </w:tcBorders>
            <w:shd w:fill="1E2A32" w:color="auto" w:val="clear"/>
            <w:tcMar>
              <w:top w:type="dxa" w:w="60"/>
              <w:left w:type="dxa" w:w="90"/>
              <w:bottom w:type="dxa" w:w="60"/>
              <w:right w:type="dxa" w:w="90"/>
            </w:tcMar>
          </w:tcPr>
          <w:p>
            <w:pPr>
              <w:spacing w:after="0" w:line="252"/>
            </w:pPr>
            <w:r>
              <w:rPr>
                <w:b/>
                <w:bCs/>
                <w:color w:val="FFFFFF"/>
                <w:sz w:val="17"/>
                <w:szCs w:val="17"/>
              </w:rPr>
              <w:t xml:space="preserve">Survey measure</w:t>
            </w:r>
          </w:p>
        </w:tc>
        <w:tc>
          <w:tcPr>
            <w:tcW w:type="dxa" w:w="964"/>
            <w:tcBorders>
              <w:top w:val="single" w:color="C9CED2" w:sz="4"/>
              <w:left w:val="single" w:color="C9CED2" w:sz="4"/>
              <w:bottom w:val="single" w:color="C9CED2" w:sz="4"/>
              <w:right w:val="single" w:color="C9CED2" w:sz="4"/>
            </w:tcBorders>
            <w:shd w:fill="1E2A32" w:color="auto" w:val="clear"/>
            <w:tcMar>
              <w:top w:type="dxa" w:w="60"/>
              <w:left w:type="dxa" w:w="90"/>
              <w:bottom w:type="dxa" w:w="60"/>
              <w:right w:type="dxa" w:w="90"/>
            </w:tcMar>
          </w:tcPr>
          <w:p>
            <w:pPr>
              <w:spacing w:after="0" w:line="252"/>
            </w:pPr>
            <w:r>
              <w:rPr>
                <w:b/>
                <w:bCs/>
                <w:color w:val="FFFFFF"/>
                <w:sz w:val="17"/>
                <w:szCs w:val="17"/>
              </w:rPr>
              <w:t xml:space="preserve">Baseline</w:t>
            </w:r>
          </w:p>
        </w:tc>
        <w:tc>
          <w:tcPr>
            <w:tcW w:type="dxa" w:w="963"/>
            <w:tcBorders>
              <w:top w:val="single" w:color="C9CED2" w:sz="4"/>
              <w:left w:val="single" w:color="C9CED2" w:sz="4"/>
              <w:bottom w:val="single" w:color="C9CED2" w:sz="4"/>
              <w:right w:val="single" w:color="C9CED2" w:sz="4"/>
            </w:tcBorders>
            <w:shd w:fill="1E2A32" w:color="auto" w:val="clear"/>
            <w:tcMar>
              <w:top w:type="dxa" w:w="60"/>
              <w:left w:type="dxa" w:w="90"/>
              <w:bottom w:type="dxa" w:w="60"/>
              <w:right w:type="dxa" w:w="90"/>
            </w:tcMar>
          </w:tcPr>
          <w:p>
            <w:pPr>
              <w:spacing w:after="0" w:line="252"/>
            </w:pPr>
            <w:r>
              <w:rPr>
                <w:b/>
                <w:bCs/>
                <w:color w:val="FFFFFF"/>
                <w:sz w:val="17"/>
                <w:szCs w:val="17"/>
              </w:rPr>
              <w:t xml:space="preserve">Target</w:t>
            </w:r>
          </w:p>
        </w:tc>
      </w:tr>
      <w:tr>
        <w:trPr>
          <w:cantSplit/>
        </w:trPr>
        <w:tc>
          <w:tcPr>
            <w:tcW w:type="dxa" w:w="771"/>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bCs/>
                <w:color w:val="1E2A32"/>
                <w:sz w:val="17"/>
                <w:szCs w:val="17"/>
              </w:rPr>
              <w:t xml:space="preserve">O1</w:t>
            </w:r>
          </w:p>
        </w:tc>
        <w:tc>
          <w:tcPr>
            <w:tcW w:type="dxa" w:w="964"/>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Feel</w:t>
            </w:r>
          </w:p>
        </w:tc>
        <w:tc>
          <w:tcPr>
            <w:tcW w:type="dxa" w:w="1157"/>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1</w:t>
            </w:r>
          </w:p>
        </w:tc>
        <w:tc>
          <w:tcPr>
            <w:tcW w:type="dxa" w:w="4819"/>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Agree "Alo is worth paying more for"</w:t>
            </w:r>
          </w:p>
        </w:tc>
        <w:tc>
          <w:tcPr>
            <w:tcW w:type="dxa" w:w="964"/>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15%</w:t>
            </w:r>
          </w:p>
        </w:tc>
        <w:tc>
          <w:tcPr>
            <w:tcW w:type="dxa" w:w="963"/>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21%</w:t>
            </w:r>
          </w:p>
        </w:tc>
      </w:tr>
      <w:tr>
        <w:trPr>
          <w:cantSplit/>
        </w:trPr>
        <w:tc>
          <w:tcPr>
            <w:tcW w:type="dxa" w:w="771"/>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bCs/>
                <w:color w:val="1E2A32"/>
                <w:sz w:val="17"/>
                <w:szCs w:val="17"/>
              </w:rPr>
              <w:t xml:space="preserve">O2</w:t>
            </w:r>
          </w:p>
        </w:tc>
        <w:tc>
          <w:tcPr>
            <w:tcW w:type="dxa" w:w="964"/>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Feel</w:t>
            </w:r>
          </w:p>
        </w:tc>
        <w:tc>
          <w:tcPr>
            <w:tcW w:type="dxa" w:w="1157"/>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4, 5</w:t>
            </w:r>
          </w:p>
        </w:tc>
        <w:tc>
          <w:tcPr>
            <w:tcW w:type="dxa" w:w="4819"/>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Agree Alo "is a brand for people like me in Sydney"</w:t>
            </w:r>
          </w:p>
        </w:tc>
        <w:tc>
          <w:tcPr>
            <w:tcW w:type="dxa" w:w="964"/>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12%</w:t>
            </w:r>
          </w:p>
        </w:tc>
        <w:tc>
          <w:tcPr>
            <w:tcW w:type="dxa" w:w="963"/>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18%</w:t>
            </w:r>
          </w:p>
        </w:tc>
      </w:tr>
      <w:tr>
        <w:trPr>
          <w:cantSplit/>
        </w:trPr>
        <w:tc>
          <w:tcPr>
            <w:tcW w:type="dxa" w:w="771"/>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bCs/>
                <w:color w:val="1E2A32"/>
                <w:sz w:val="17"/>
                <w:szCs w:val="17"/>
              </w:rPr>
              <w:t xml:space="preserve">O3</w:t>
            </w:r>
          </w:p>
        </w:tc>
        <w:tc>
          <w:tcPr>
            <w:tcW w:type="dxa" w:w="964"/>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Learn</w:t>
            </w:r>
          </w:p>
        </w:tc>
        <w:tc>
          <w:tcPr>
            <w:tcW w:type="dxa" w:w="1157"/>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2</w:t>
            </w:r>
          </w:p>
        </w:tc>
        <w:tc>
          <w:tcPr>
            <w:tcW w:type="dxa" w:w="4819"/>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Aware Alo has stores in Sydney</w:t>
            </w:r>
          </w:p>
        </w:tc>
        <w:tc>
          <w:tcPr>
            <w:tcW w:type="dxa" w:w="964"/>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25%</w:t>
            </w:r>
          </w:p>
        </w:tc>
        <w:tc>
          <w:tcPr>
            <w:tcW w:type="dxa" w:w="963"/>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35%</w:t>
            </w:r>
          </w:p>
        </w:tc>
      </w:tr>
      <w:tr>
        <w:trPr>
          <w:cantSplit/>
        </w:trPr>
        <w:tc>
          <w:tcPr>
            <w:tcW w:type="dxa" w:w="771"/>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bCs/>
                <w:color w:val="1E2A32"/>
                <w:sz w:val="17"/>
                <w:szCs w:val="17"/>
              </w:rPr>
              <w:t xml:space="preserve">O4</w:t>
            </w:r>
          </w:p>
        </w:tc>
        <w:tc>
          <w:tcPr>
            <w:tcW w:type="dxa" w:w="964"/>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Do</w:t>
            </w:r>
          </w:p>
        </w:tc>
        <w:tc>
          <w:tcPr>
            <w:tcW w:type="dxa" w:w="1157"/>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3</w:t>
            </w:r>
          </w:p>
        </w:tc>
        <w:tc>
          <w:tcPr>
            <w:tcW w:type="dxa" w:w="4819"/>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Visited an Alo store or website in the past three months</w:t>
            </w:r>
          </w:p>
        </w:tc>
        <w:tc>
          <w:tcPr>
            <w:tcW w:type="dxa" w:w="964"/>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8%</w:t>
            </w:r>
          </w:p>
        </w:tc>
        <w:tc>
          <w:tcPr>
            <w:tcW w:type="dxa" w:w="963"/>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11%</w:t>
            </w:r>
          </w:p>
        </w:tc>
      </w:tr>
    </w:tbl>
    <w:p>
      <w:pPr>
        <w:spacing w:after="160"/>
      </w:pPr>
    </w:p>
    <w:p>
      <w:pPr>
        <w:spacing w:after="160" w:line="288"/>
      </w:pPr>
      <w:r>
        <w:t xml:space="preserve">The objectives follow DAGMAR (Colley, 1961). AIDA and the hierarchy of effects assume that consumers think, then feel, then do (Lavidge &amp; Steiner, 1961; Strong, 1925). Figure 1 shows why this campaign reverses the first two steps. Premium activewear is a high-involvement purchase worn in public, so attitude precedes information (Vaughn, 1980). The hierarchy is a heuristic, not a law, so all four objectives are tracked simultaneously. Targets are set against benchmarks, not ambition. Across 23 Meta brand-lift tests, campaigns raised awareness by an average of 3.7 points and ad recall by 7.6 points (Meta, 2020). Store awareness (O3) is one simple fact repeated on every channel near the stores, so a 10-point lift, two to three times that single-platform norm, is stretching but attainable. Attitudes move less than awareness, so O1 and O2 target 6 points; behaviour moves least, so O4 targets 3. Baselines are estimates to be confirmed by the pre-campaign survey: O3 starts at 25% because Alo's search interest matches Lorna Jane's, but store awareness trails name awareness for a new entrant. Visits rather than sales are targeted because price and stock sit outside communication's control (Belch &amp; Belch, 2021).</w:t>
      </w:r>
    </w:p>
    <w:p>
      <w:pPr>
        <w:keepNext/>
        <w:spacing w:after="40" w:before="200"/>
      </w:pPr>
      <w:r>
        <w:rPr>
          <w:b/>
          <w:bCs/>
        </w:rPr>
        <w:t xml:space="preserve">Figure 1</w:t>
      </w:r>
    </w:p>
    <w:p>
      <w:pPr>
        <w:keepNext/>
        <w:spacing w:after="100"/>
      </w:pPr>
      <w:r>
        <w:rPr>
          <w:i/>
          <w:iCs/>
        </w:rPr>
        <w:t xml:space="preserve">Response Hierarchy Applied to the Objectives</w:t>
      </w:r>
    </w:p>
    <w:p>
      <w:pPr>
        <w:keepNext/>
        <w:spacing w:after="80"/>
        <w:jc w:val="center"/>
      </w:pPr>
      <w:r>
        <w:drawing>
          <wp:inline distT="0" distB="0" distL="0" distR="0">
            <wp:extent cx="6035040" cy="1238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035040" cy="1238250"/>
                    </a:xfrm>
                    <a:prstGeom prst="rect">
                      <a:avLst/>
                    </a:prstGeom>
                  </pic:spPr>
                </pic:pic>
              </a:graphicData>
            </a:graphic>
          </wp:inline>
        </w:drawing>
      </w:r>
    </w:p>
    <w:p>
      <w:pPr>
        <w:spacing w:after="240"/>
      </w:pPr>
      <w:r>
        <w:rPr>
          <w:i/>
          <w:iCs/>
          <w:color w:val="5B6770"/>
          <w:sz w:val="19"/>
          <w:szCs w:val="19"/>
        </w:rPr>
        <w:t xml:space="preserve">Note. </w:t>
      </w:r>
      <w:r>
        <w:rPr>
          <w:color w:val="5B6770"/>
          <w:sz w:val="19"/>
          <w:szCs w:val="19"/>
        </w:rPr>
        <w:t xml:space="preserve">Adapted from Strong (1925), Lavidge and Steiner (1961) and Vaughn (1980).</w:t>
      </w:r>
    </w:p>
    <w:p>
      <w:pPr>
        <w:pStyle w:val="Heading1"/>
      </w:pPr>
      <w:r>
        <w:t xml:space="preserve">3. Communication Strategy</w:t>
      </w:r>
    </w:p>
    <w:p>
      <w:pPr>
        <w:pStyle w:val="Heading2"/>
      </w:pPr>
      <w:r>
        <w:t xml:space="preserve">3.1 Insight and Diagnosis</w:t>
      </w:r>
    </w:p>
    <w:p>
      <w:pPr>
        <w:spacing w:after="160" w:line="288"/>
      </w:pPr>
      <w:r>
        <w:rPr>
          <w:b/>
          <w:bCs/>
        </w:rPr>
        <w:t xml:space="preserve">Insight:</w:t>
      </w:r>
      <w:r>
        <w:t xml:space="preserve"> for Segment A, studio fitness is a social performance. Young women experience exercise as visible "aesthetic labour" on Instagram (Camacho-Miñano et al., 2019), so activewear is judged at the café as much as in class. The communication process model (Schramm, as cited in Belch &amp; Belch, 2021) explains why Alo has not yet capitalised on this (Figure 2). Meaning is shared only where fields of experience overlap. Alo's launch was encoded in Los Angeles and decoded in Sydney as "beautiful, but not for me". The fix is not more volume but re-encoding the message through Sydney instructors and creators, whose fields of experience overlap almost completely with the audience's. Noise from rivals and influencer clutter favours repeating one idea. The model's feedback loop is built in: comments, bookings and search interest are reviewed between bursts (Section 6).</w:t>
      </w:r>
    </w:p>
    <w:p>
      <w:pPr>
        <w:keepNext/>
        <w:spacing w:after="40" w:before="200"/>
      </w:pPr>
      <w:r>
        <w:rPr>
          <w:b/>
          <w:bCs/>
        </w:rPr>
        <w:t xml:space="preserve">Figure 2</w:t>
      </w:r>
    </w:p>
    <w:p>
      <w:pPr>
        <w:keepNext/>
        <w:spacing w:after="100"/>
      </w:pPr>
      <w:r>
        <w:rPr>
          <w:i/>
          <w:iCs/>
        </w:rPr>
        <w:t xml:space="preserve">Communication Process Model Applied to Alo's Sydney Launch</w:t>
      </w:r>
    </w:p>
    <w:p>
      <w:pPr>
        <w:keepNext/>
        <w:spacing w:after="80"/>
        <w:jc w:val="center"/>
      </w:pPr>
      <w:r>
        <w:drawing>
          <wp:inline distT="0" distB="0" distL="0" distR="0">
            <wp:extent cx="6035040" cy="1800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35040" cy="1800225"/>
                    </a:xfrm>
                    <a:prstGeom prst="rect">
                      <a:avLst/>
                    </a:prstGeom>
                  </pic:spPr>
                </pic:pic>
              </a:graphicData>
            </a:graphic>
          </wp:inline>
        </w:drawing>
      </w:r>
    </w:p>
    <w:p>
      <w:pPr>
        <w:spacing w:after="240"/>
      </w:pPr>
      <w:r>
        <w:rPr>
          <w:i/>
          <w:iCs/>
          <w:color w:val="5B6770"/>
          <w:sz w:val="19"/>
          <w:szCs w:val="19"/>
        </w:rPr>
        <w:t xml:space="preserve">Note. </w:t>
      </w:r>
      <w:r>
        <w:rPr>
          <w:color w:val="5B6770"/>
          <w:sz w:val="19"/>
          <w:szCs w:val="19"/>
        </w:rPr>
        <w:t xml:space="preserve">Adapted from Schramm's model as presented in Belch and Belch (2021).</w:t>
      </w:r>
    </w:p>
    <w:p>
      <w:pPr>
        <w:pStyle w:val="Heading2"/>
      </w:pPr>
      <w:r>
        <w:t xml:space="preserve">3.2 Positioning: Global Brand, Local Meaning</w:t>
      </w:r>
    </w:p>
    <w:p>
      <w:pPr>
        <w:spacing w:after="160" w:line="288"/>
      </w:pPr>
      <w:r>
        <w:rPr>
          <w:i/>
          <w:iCs/>
        </w:rPr>
        <w:t xml:space="preserve">For style-led studio women in Sydney, Alo is the premium activewear brand designed to move from the reformer to the rest of the day.</w:t>
      </w:r>
      <w:r>
        <w:t xml:space="preserve"> Levitt (1983) argued that global brands should standardise, but standardised efficiency does not guarantee local relevance. Alo's identity, positioning and visual assets are therefore standardised to protect its global prestige (see Appendix D): logo, neutral palette, studio aesthetic and a no-discount policy. People, places, partnerships and offers are localised: Sydney instructors, Bondi and CBD settings, Body by Berner, and styling appointments. Localness adds relational value even for foreign brands (Sichtmann et al., 2019). The risk is that Alo's global celebrity content still reaches Sydney feeds, competing with the local voice.</w:t>
      </w:r>
    </w:p>
    <w:p>
      <w:pPr>
        <w:pStyle w:val="Heading2"/>
      </w:pPr>
      <w:r>
        <w:t xml:space="preserve">3.3 Message Strategy</w:t>
      </w:r>
    </w:p>
    <w:p>
      <w:pPr>
        <w:spacing w:after="160" w:line="288"/>
      </w:pPr>
      <w:r>
        <w:t xml:space="preserve">One message carries the proposition everywhere: </w:t>
      </w:r>
      <w:r>
        <w:rPr>
          <w:b/>
          <w:bCs/>
        </w:rPr>
        <w:t xml:space="preserve">"Mat to Moment: one set, made for the whole day."</w:t>
      </w:r>
      <w:r>
        <w:t xml:space="preserve"> Appendix E traces its three pillars from challenge to touchpoint. The pillars divide the persuasive work; they are not three campaigns. Each carries the same line, and the shared brand codes beneath them are what make the campaign integrated rather than merely multi-channel.</w:t>
      </w:r>
    </w:p>
    <w:p>
      <w:pPr>
        <w:spacing w:after="160" w:line="288"/>
      </w:pPr>
      <w:r>
        <w:t xml:space="preserve">Under the Elaboration Likelihood Model, the persuasion route depends on motivation and ability (Petty et al., 1983). Segment A is motivated but meets most messages while scrolling, when ability is low (Figure 3). </w:t>
      </w:r>
      <w:r>
        <w:rPr>
          <w:i/>
          <w:iCs/>
        </w:rPr>
        <w:t xml:space="preserve">Made for Sydney's day</w:t>
      </w:r>
      <w:r>
        <w:t xml:space="preserve"> therefore works peripherally, through local sources and familiar settings, and </w:t>
      </w:r>
      <w:r>
        <w:rPr>
          <w:i/>
          <w:iCs/>
        </w:rPr>
        <w:t xml:space="preserve">Find us</w:t>
      </w:r>
      <w:r>
        <w:t xml:space="preserve"> through repetition that builds memory structures (Sharp, 2010). Peripheral attitudes fade faster, hence the always-on base. </w:t>
      </w:r>
      <w:r>
        <w:rPr>
          <w:i/>
          <w:iCs/>
        </w:rPr>
        <w:t xml:space="preserve">Worth it</w:t>
      </w:r>
      <w:r>
        <w:t xml:space="preserve"> takes the central route: fit, fabric and cost per wear are tested hands-on at Sanctuary Sessions, because centrally formed attitudes resist counter-arguments such as "Lululemon is cheaper" (Petty &amp; Cacioppo, 1986). The routes are not exclusive, since one post can trigger both product and source thoughts (Wright, 1973), and sessions reach hundreds rather than thousands, so every session is filmed to carry its proof further. Discounting was rejected because promotions increase price sensitivity over time (Mela et al., 1997).</w:t>
      </w:r>
    </w:p>
    <w:p>
      <w:pPr>
        <w:keepNext/>
        <w:spacing w:after="40" w:before="200"/>
      </w:pPr>
      <w:r>
        <w:rPr>
          <w:b/>
          <w:bCs/>
        </w:rPr>
        <w:t xml:space="preserve">Figure 3</w:t>
      </w:r>
    </w:p>
    <w:p>
      <w:pPr>
        <w:keepNext/>
        <w:spacing w:after="100"/>
      </w:pPr>
      <w:r>
        <w:rPr>
          <w:i/>
          <w:iCs/>
        </w:rPr>
        <w:t xml:space="preserve">Elaboration Likelihood Model Applied to the Pillars</w:t>
      </w:r>
    </w:p>
    <w:p>
      <w:pPr>
        <w:keepNext/>
        <w:spacing w:after="80"/>
        <w:jc w:val="center"/>
      </w:pPr>
      <w:r>
        <w:drawing>
          <wp:inline distT="0" distB="0" distL="0" distR="0">
            <wp:extent cx="6035040" cy="2809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35040" cy="2809875"/>
                    </a:xfrm>
                    <a:prstGeom prst="rect">
                      <a:avLst/>
                    </a:prstGeom>
                  </pic:spPr>
                </pic:pic>
              </a:graphicData>
            </a:graphic>
          </wp:inline>
        </w:drawing>
      </w:r>
    </w:p>
    <w:p>
      <w:pPr>
        <w:spacing w:after="240"/>
      </w:pPr>
      <w:r>
        <w:rPr>
          <w:i/>
          <w:iCs/>
          <w:color w:val="5B6770"/>
          <w:sz w:val="19"/>
          <w:szCs w:val="19"/>
        </w:rPr>
        <w:t xml:space="preserve">Note. </w:t>
      </w:r>
      <w:r>
        <w:rPr>
          <w:color w:val="5B6770"/>
          <w:sz w:val="19"/>
          <w:szCs w:val="19"/>
        </w:rPr>
        <w:t xml:space="preserve">Adapted from Petty et al. (1983).</w:t>
      </w:r>
    </w:p>
    <w:p>
      <w:pPr>
        <w:pStyle w:val="Heading2"/>
      </w:pPr>
      <w:r>
        <w:t xml:space="preserve">3.4 Source Selection</w:t>
      </w:r>
    </w:p>
    <w:p>
      <w:pPr>
        <w:spacing w:after="160" w:line="288"/>
      </w:pPr>
      <w:r>
        <w:t xml:space="preserve">Sources are judged on credibility, attractiveness (Ohanian, 1990) and fit with the claim (Kamins, 1990), across influencer tiers (Campbell &amp; Farrell, 2020; Figure 4). Instructors are experts matched to a performance claim. Micro-creators trade reach for credibility, which drives trust in influencer content (Lou &amp; Yuan, 2019), and very large followings can reduce perceived uniqueness (De Veirman et al., 2017). Editorial adds third-party credibility (Cameron, 1994). A celebrity was rejected because high attractiveness with low local fit would re-encode the Los Angeles meaning. The cost is reach, which one macro creator and paid media buy back. Credibility is also legal: 96% of fashion influencers reviewed had posts raising consumer-law concerns (ACCC, 2023), so disclosure is mandatory in every brief.</w:t>
      </w:r>
    </w:p>
    <w:p>
      <w:pPr>
        <w:keepNext/>
        <w:spacing w:after="40" w:before="200"/>
      </w:pPr>
      <w:r>
        <w:rPr>
          <w:b/>
          <w:bCs/>
        </w:rPr>
        <w:t xml:space="preserve">Figure 4</w:t>
      </w:r>
    </w:p>
    <w:p>
      <w:pPr>
        <w:keepNext/>
        <w:spacing w:after="100"/>
      </w:pPr>
      <w:r>
        <w:rPr>
          <w:i/>
          <w:iCs/>
        </w:rPr>
        <w:t xml:space="preserve">Source Characteristics Applied Across Influencer Tiers</w:t>
      </w:r>
    </w:p>
    <w:p>
      <w:pPr>
        <w:keepNext/>
        <w:spacing w:after="80"/>
        <w:jc w:val="center"/>
      </w:pPr>
      <w:r>
        <w:drawing>
          <wp:inline distT="0" distB="0" distL="0" distR="0">
            <wp:extent cx="6035040" cy="1419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35040" cy="1419225"/>
                    </a:xfrm>
                    <a:prstGeom prst="rect">
                      <a:avLst/>
                    </a:prstGeom>
                  </pic:spPr>
                </pic:pic>
              </a:graphicData>
            </a:graphic>
          </wp:inline>
        </w:drawing>
      </w:r>
    </w:p>
    <w:p>
      <w:pPr>
        <w:spacing w:after="240"/>
      </w:pPr>
      <w:r>
        <w:rPr>
          <w:i/>
          <w:iCs/>
          <w:color w:val="5B6770"/>
          <w:sz w:val="19"/>
          <w:szCs w:val="19"/>
        </w:rPr>
        <w:t xml:space="preserve">Note. </w:t>
      </w:r>
      <w:r>
        <w:rPr>
          <w:color w:val="5B6770"/>
          <w:sz w:val="19"/>
          <w:szCs w:val="19"/>
        </w:rPr>
        <w:t xml:space="preserve">Dimensions from Ohanian (1990); tiers from Campbell and Farrell (2020).</w:t>
      </w:r>
    </w:p>
    <w:p>
      <w:pPr>
        <w:pStyle w:val="Heading2"/>
      </w:pPr>
      <w:r>
        <w:t xml:space="preserve">3.5 Integration Across the Journey</w:t>
      </w:r>
    </w:p>
    <w:p>
      <w:pPr>
        <w:spacing w:after="160" w:line="288"/>
      </w:pPr>
      <w:r>
        <w:t xml:space="preserve">IMC exists because fragmented messages weaken brand equity and trust (Belch &amp; Belch, 2021; Keller, 2001). Figure 5 maps the campaign onto the consumer decision journey, extended for social influence (Court et al., 2009; Stephen, 2016): each stage has a different job, but all six tell the same story, and advocates' #MatToMoment posts become discovery content for the next customer at no media cost. Figure 6 shows the cost of this approach. About 45% of the budget goes to creators, sessions and PR, which carry higher impact but lower control (Duncan, as cited in Belch &amp; Belch, 2021). Customer posts, reviews and creator controversies cannot be scripted. Shared brand codes, tight creator briefs and weekly social listening protect consistency. This is the campaign's central bet: advertising alone would be more controllable but less believable.</w:t>
      </w:r>
    </w:p>
    <w:p>
      <w:pPr>
        <w:keepNext/>
        <w:spacing w:after="40" w:before="200"/>
      </w:pPr>
      <w:r>
        <w:rPr>
          <w:b/>
          <w:bCs/>
        </w:rPr>
        <w:t xml:space="preserve">Figure 5</w:t>
      </w:r>
    </w:p>
    <w:p>
      <w:pPr>
        <w:keepNext/>
        <w:spacing w:after="100"/>
      </w:pPr>
      <w:r>
        <w:rPr>
          <w:i/>
          <w:iCs/>
        </w:rPr>
        <w:t xml:space="preserve">Consumer Decision Journey With Social Influence</w:t>
      </w:r>
    </w:p>
    <w:p>
      <w:pPr>
        <w:keepNext/>
        <w:spacing w:after="80"/>
        <w:jc w:val="center"/>
      </w:pPr>
      <w:r>
        <w:drawing>
          <wp:inline distT="0" distB="0" distL="0" distR="0">
            <wp:extent cx="6035040" cy="1638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035040" cy="1638300"/>
                    </a:xfrm>
                    <a:prstGeom prst="rect">
                      <a:avLst/>
                    </a:prstGeom>
                  </pic:spPr>
                </pic:pic>
              </a:graphicData>
            </a:graphic>
          </wp:inline>
        </w:drawing>
      </w:r>
    </w:p>
    <w:p>
      <w:pPr>
        <w:spacing w:after="240"/>
      </w:pPr>
      <w:r>
        <w:rPr>
          <w:i/>
          <w:iCs/>
          <w:color w:val="5B6770"/>
          <w:sz w:val="19"/>
          <w:szCs w:val="19"/>
        </w:rPr>
        <w:t xml:space="preserve">Note. </w:t>
      </w:r>
      <w:r>
        <w:rPr>
          <w:color w:val="5B6770"/>
          <w:sz w:val="19"/>
          <w:szCs w:val="19"/>
        </w:rPr>
        <w:t xml:space="preserve">Adapted from Court et al. (2009) and Stephen (2016).</w:t>
      </w:r>
    </w:p>
    <w:p>
      <w:pPr>
        <w:keepNext/>
        <w:spacing w:after="40" w:before="200"/>
      </w:pPr>
      <w:r>
        <w:rPr>
          <w:b/>
          <w:bCs/>
        </w:rPr>
        <w:t xml:space="preserve">Figure 6</w:t>
      </w:r>
    </w:p>
    <w:p>
      <w:pPr>
        <w:keepNext/>
        <w:spacing w:after="100"/>
      </w:pPr>
      <w:r>
        <w:rPr>
          <w:i/>
          <w:iCs/>
        </w:rPr>
        <w:t xml:space="preserve">Campaign Touchpoints by Impact and Control</w:t>
      </w:r>
    </w:p>
    <w:p>
      <w:pPr>
        <w:keepNext/>
        <w:spacing w:after="80"/>
        <w:jc w:val="center"/>
      </w:pPr>
      <w:r>
        <w:drawing>
          <wp:inline distT="0" distB="0" distL="0" distR="0">
            <wp:extent cx="6035040" cy="2914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035040" cy="2914650"/>
                    </a:xfrm>
                    <a:prstGeom prst="rect">
                      <a:avLst/>
                    </a:prstGeom>
                  </pic:spPr>
                </pic:pic>
              </a:graphicData>
            </a:graphic>
          </wp:inline>
        </w:drawing>
      </w:r>
    </w:p>
    <w:p>
      <w:pPr>
        <w:spacing w:after="240"/>
      </w:pPr>
      <w:r>
        <w:rPr>
          <w:i/>
          <w:iCs/>
          <w:color w:val="5B6770"/>
          <w:sz w:val="19"/>
          <w:szCs w:val="19"/>
        </w:rPr>
        <w:t xml:space="preserve">Note. </w:t>
      </w:r>
      <w:r>
        <w:rPr>
          <w:color w:val="5B6770"/>
          <w:sz w:val="19"/>
          <w:szCs w:val="19"/>
        </w:rPr>
        <w:t xml:space="preserve">Touchpoint types from Duncan (as cited in Belch &amp; Belch, 2021).</w:t>
      </w:r>
    </w:p>
    <w:p>
      <w:pPr>
        <w:pStyle w:val="Heading1"/>
      </w:pPr>
      <w:r>
        <w:t xml:space="preserve">4. Creative Strategy</w:t>
      </w:r>
    </w:p>
    <w:p>
      <w:pPr>
        <w:pStyle w:val="Heading2"/>
      </w:pPr>
      <w:r>
        <w:t xml:space="preserve">4.1 Creative Brief and Concept</w:t>
      </w:r>
    </w:p>
    <w:p>
      <w:pPr>
        <w:keepNext/>
        <w:spacing w:after="40" w:before="200"/>
      </w:pPr>
      <w:r>
        <w:rPr>
          <w:b/>
          <w:bCs/>
        </w:rPr>
        <w:t xml:space="preserve">Table 3</w:t>
      </w:r>
    </w:p>
    <w:p>
      <w:pPr>
        <w:keepNext/>
        <w:spacing w:after="100"/>
      </w:pPr>
      <w:r>
        <w:rPr>
          <w:i/>
          <w:iCs/>
        </w:rPr>
        <w:t xml:space="preserve">Creative Brief Summary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6"/>
        <w:gridCol w:w="7132"/>
      </w:tblGrid>
      <w:tr>
        <w:trPr>
          <w:tblHeader/>
        </w:trPr>
        <w:tc>
          <w:tcPr>
            <w:tcW w:type="dxa" w:w="2506"/>
            <w:tcBorders>
              <w:top w:val="single" w:color="C9CED2" w:sz="4"/>
              <w:left w:val="single" w:color="C9CED2" w:sz="4"/>
              <w:bottom w:val="single" w:color="C9CED2" w:sz="4"/>
              <w:right w:val="single" w:color="C9CED2" w:sz="4"/>
            </w:tcBorders>
            <w:shd w:fill="1E2A32" w:color="auto" w:val="clear"/>
            <w:tcMar>
              <w:top w:type="dxa" w:w="60"/>
              <w:left w:type="dxa" w:w="90"/>
              <w:bottom w:type="dxa" w:w="60"/>
              <w:right w:type="dxa" w:w="90"/>
            </w:tcMar>
          </w:tcPr>
          <w:p>
            <w:pPr>
              <w:spacing w:after="0" w:line="252"/>
            </w:pPr>
            <w:r>
              <w:rPr>
                <w:b/>
                <w:bCs/>
                <w:color w:val="FFFFFF"/>
                <w:sz w:val="17"/>
                <w:szCs w:val="17"/>
              </w:rPr>
              <w:t xml:space="preserve">Element</w:t>
            </w:r>
          </w:p>
        </w:tc>
        <w:tc>
          <w:tcPr>
            <w:tcW w:type="dxa" w:w="7132"/>
            <w:tcBorders>
              <w:top w:val="single" w:color="C9CED2" w:sz="4"/>
              <w:left w:val="single" w:color="C9CED2" w:sz="4"/>
              <w:bottom w:val="single" w:color="C9CED2" w:sz="4"/>
              <w:right w:val="single" w:color="C9CED2" w:sz="4"/>
            </w:tcBorders>
            <w:shd w:fill="1E2A32" w:color="auto" w:val="clear"/>
            <w:tcMar>
              <w:top w:type="dxa" w:w="60"/>
              <w:left w:type="dxa" w:w="90"/>
              <w:bottom w:type="dxa" w:w="60"/>
              <w:right w:type="dxa" w:w="90"/>
            </w:tcMar>
          </w:tcPr>
          <w:p>
            <w:pPr>
              <w:spacing w:after="0" w:line="252"/>
            </w:pPr>
            <w:r>
              <w:rPr>
                <w:b/>
                <w:bCs/>
                <w:color w:val="FFFFFF"/>
                <w:sz w:val="17"/>
                <w:szCs w:val="17"/>
              </w:rPr>
              <w:t xml:space="preserve">Mat to Moment</w:t>
            </w:r>
          </w:p>
        </w:tc>
      </w:tr>
      <w:tr>
        <w:trPr>
          <w:cantSplit/>
        </w:trPr>
        <w:tc>
          <w:tcPr>
            <w:tcW w:type="dxa" w:w="2506"/>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bCs/>
                <w:color w:val="1E2A32"/>
                <w:sz w:val="17"/>
                <w:szCs w:val="17"/>
              </w:rPr>
              <w:t xml:space="preserve">Target audience</w:t>
            </w:r>
          </w:p>
        </w:tc>
        <w:tc>
          <w:tcPr>
            <w:tcW w:type="dxa" w:w="7132"/>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Style-conscious women, 22–34, Greater Sydney</w:t>
            </w:r>
          </w:p>
        </w:tc>
      </w:tr>
      <w:tr>
        <w:trPr>
          <w:cantSplit/>
        </w:trPr>
        <w:tc>
          <w:tcPr>
            <w:tcW w:type="dxa" w:w="2506"/>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bCs/>
                <w:color w:val="1E2A32"/>
                <w:sz w:val="17"/>
                <w:szCs w:val="17"/>
              </w:rPr>
              <w:t xml:space="preserve">Key insight</w:t>
            </w:r>
          </w:p>
        </w:tc>
        <w:tc>
          <w:tcPr>
            <w:tcW w:type="dxa" w:w="7132"/>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Activewear is judged after class as much as in it</w:t>
            </w:r>
          </w:p>
        </w:tc>
      </w:tr>
      <w:tr>
        <w:trPr>
          <w:cantSplit/>
        </w:trPr>
        <w:tc>
          <w:tcPr>
            <w:tcW w:type="dxa" w:w="2506"/>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bCs/>
                <w:color w:val="1E2A32"/>
                <w:sz w:val="17"/>
                <w:szCs w:val="17"/>
              </w:rPr>
              <w:t xml:space="preserve">Key message</w:t>
            </w:r>
          </w:p>
        </w:tc>
        <w:tc>
          <w:tcPr>
            <w:tcW w:type="dxa" w:w="7132"/>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One set, made for the whole day</w:t>
            </w:r>
          </w:p>
        </w:tc>
      </w:tr>
      <w:tr>
        <w:trPr>
          <w:cantSplit/>
        </w:trPr>
        <w:tc>
          <w:tcPr>
            <w:tcW w:type="dxa" w:w="2506"/>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bCs/>
                <w:color w:val="1E2A32"/>
                <w:sz w:val="17"/>
                <w:szCs w:val="17"/>
              </w:rPr>
              <w:t xml:space="preserve">Reasons to believe</w:t>
            </w:r>
          </w:p>
        </w:tc>
        <w:tc>
          <w:tcPr>
            <w:tcW w:type="dxa" w:w="7132"/>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Instructor-tested fit, cost per wear, editorial reviews</w:t>
            </w:r>
          </w:p>
        </w:tc>
      </w:tr>
      <w:tr>
        <w:trPr>
          <w:cantSplit/>
        </w:trPr>
        <w:tc>
          <w:tcPr>
            <w:tcW w:type="dxa" w:w="2506"/>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bCs/>
                <w:color w:val="1E2A32"/>
                <w:sz w:val="17"/>
                <w:szCs w:val="17"/>
              </w:rPr>
              <w:t xml:space="preserve">Tone</w:t>
            </w:r>
          </w:p>
        </w:tc>
        <w:tc>
          <w:tcPr>
            <w:tcW w:type="dxa" w:w="7132"/>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Calm, confident, natural light, diverse bodies</w:t>
            </w:r>
          </w:p>
        </w:tc>
      </w:tr>
    </w:tbl>
    <w:p>
      <w:pPr>
        <w:spacing w:after="240" w:before="60"/>
      </w:pPr>
      <w:r>
        <w:rPr>
          <w:i/>
          <w:iCs/>
          <w:color w:val="5B6770"/>
          <w:sz w:val="19"/>
          <w:szCs w:val="19"/>
        </w:rPr>
        <w:t xml:space="preserve">Note. </w:t>
      </w:r>
      <w:r>
        <w:rPr>
          <w:color w:val="5B6770"/>
          <w:sz w:val="19"/>
          <w:szCs w:val="19"/>
        </w:rPr>
        <w:t xml:space="preserve">Elements from Belch and Belch (2021).</w:t>
      </w:r>
    </w:p>
    <w:p>
      <w:pPr>
        <w:spacing w:after="160" w:line="288"/>
      </w:pPr>
      <w:r>
        <w:rPr>
          <w:b/>
          <w:bCs/>
        </w:rPr>
        <w:t xml:space="preserve">One Set, One Day</w:t>
      </w:r>
      <w:r>
        <w:t xml:space="preserve"> follows a single Alo set through a real Sydney day. The lead creator, Bernadette Sukkar of Body by Berner in Bondi, combines Pilates expertise with a fashion-PR background, matching both halves of the message (RIISE, 2026). Her studio hosts the first </w:t>
      </w:r>
      <w:r>
        <w:rPr>
          <w:b/>
          <w:bCs/>
        </w:rPr>
        <w:t xml:space="preserve">Sanctuary Sessions</w:t>
      </w:r>
      <w:r>
        <w:t xml:space="preserve">: a class, a fabric trial and styling advice, followed by a complimentary styling appointment rather than a discount. Memorable experiences create value that advertising alone cannot (Pine &amp; Gilmore, 1998), and there is precedent: Alo already presents its Chatswood store as a wellness sanctuary (RetailBoss, 2026), Lululemon built community through events such as its Sweatlife festival (lululemon athletica, 2018), and Gymshark's community pop-ups drew crowds before it had local stores (blogTO, 2018). The sessions add something Lululemon's run clubs do not: the community continues into the "moment" after class, which is the half of the proposition Lululemon does not own.</w:t>
      </w:r>
    </w:p>
    <w:p>
      <w:pPr>
        <w:pStyle w:val="Heading2"/>
      </w:pPr>
      <w:r>
        <w:t xml:space="preserve">4.2 Creativity, Appeals and Execution</w:t>
      </w:r>
    </w:p>
    <w:p>
      <w:pPr>
        <w:spacing w:after="160" w:line="288"/>
      </w:pPr>
      <w:r>
        <w:t xml:space="preserve">The idea is divergent, because it shows quiet post-class moments rather than the category's sweat and intensity. It is also relevant, because that narrative </w:t>
      </w:r>
      <w:r>
        <w:rPr>
          <w:i/>
          <w:iCs/>
        </w:rPr>
        <w:t xml:space="preserve">is</w:t>
      </w:r>
      <w:r>
        <w:t xml:space="preserve"> the positioning (Smith &amp; Yang, 2004). On Smith et al.'s (2007) divergence dimensions, it scores on originality, synthesis and flexibility (Appendix F). The risk is that divergent work is remembered without the brand, so the logo, palette and "Mat to Moment" sign-off appear in every execution. The lead appeals are aspirational and social approval (Belch &amp; Belch, 2021). Social approval is the riskiest choice here, because visibility drives appearance pressure (Camacho-Miñano et al., 2019), and exploiting that insecurity would cross from persuasion into manipulation. Executions therefore show diverse bodies and use no retouching. A rational appeal reframes price as cost per wear, presenting value as longevity rather than low price. Slice-of-life storytelling carries the emotion, and demonstration carries the proof.</w:t>
      </w:r>
    </w:p>
    <w:p>
      <w:pPr>
        <w:pStyle w:val="Heading2"/>
      </w:pPr>
      <w:r>
        <w:t xml:space="preserve">4.3 One Idea Across Every Channel</w:t>
      </w:r>
    </w:p>
    <w:p>
      <w:pPr>
        <w:spacing w:after="160" w:line="288"/>
      </w:pPr>
      <w:r>
        <w:t xml:space="preserve">In Appendix G, each channel adapts the hook and call to action to suit its medium, but all share one story and one sign-off, which gives consistent meaning without identical executions (Batra &amp; Keller, 2016). Because IMC builds recall through repetition and consistency (Keller, 2001), a viewer who hears the audio, passes a bus shelter and then sees a creator's post meets one idea three times, not three different ideas once. Claims must be substantiated under the Australian Consumer Law, as Lorna Jane's A$5 million penalty shows (ACCC, 2021), and creator posts must be clearly identifiable as advertising (Australian Association of National Advertisers [AANA], 2021). The music also needs sync licences.</w:t>
      </w:r>
    </w:p>
    <w:p>
      <w:pPr>
        <w:pStyle w:val="Heading2"/>
      </w:pPr>
      <w:r>
        <w:t xml:space="preserve">4.4 Draft Communication Materials</w:t>
      </w:r>
    </w:p>
    <w:p>
      <w:pPr>
        <w:spacing w:after="160" w:line="288"/>
      </w:pPr>
      <w:r>
        <w:t xml:space="preserve">Appendix H holds draft materials for every other element of the mix; Figure 7 shows the outdoor panel. All share one set, one day and one sign-off; only the call to action shifts by journey stage.</w:t>
      </w:r>
    </w:p>
    <w:p>
      <w:pPr>
        <w:keepNext/>
        <w:spacing w:after="40" w:before="200"/>
      </w:pPr>
      <w:r>
        <w:rPr>
          <w:b/>
          <w:bCs/>
        </w:rPr>
        <w:t xml:space="preserve">Figure 7</w:t>
      </w:r>
    </w:p>
    <w:p>
      <w:pPr>
        <w:keepNext/>
        <w:spacing w:after="100"/>
      </w:pPr>
      <w:r>
        <w:rPr>
          <w:i/>
          <w:iCs/>
        </w:rPr>
        <w:t xml:space="preserve">Draft Bus-Side Panel (Outdoor)</w:t>
      </w:r>
    </w:p>
    <w:p>
      <w:pPr>
        <w:keepNext/>
        <w:spacing w:after="80"/>
        <w:jc w:val="center"/>
      </w:pPr>
      <w:r>
        <w:drawing>
          <wp:inline distT="0" distB="0" distL="0" distR="0">
            <wp:extent cx="6035040" cy="1981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035040" cy="1981200"/>
                    </a:xfrm>
                    <a:prstGeom prst="rect">
                      <a:avLst/>
                    </a:prstGeom>
                  </pic:spPr>
                </pic:pic>
              </a:graphicData>
            </a:graphic>
          </wp:inline>
        </w:drawing>
      </w:r>
    </w:p>
    <w:p>
      <w:pPr>
        <w:spacing w:after="240"/>
      </w:pPr>
      <w:r>
        <w:rPr>
          <w:i/>
          <w:iCs/>
          <w:color w:val="5B6770"/>
          <w:sz w:val="19"/>
          <w:szCs w:val="19"/>
        </w:rPr>
        <w:t xml:space="preserve">Note. </w:t>
      </w:r>
      <w:r>
        <w:rPr>
          <w:color w:val="5B6770"/>
          <w:sz w:val="19"/>
          <w:szCs w:val="19"/>
        </w:rPr>
        <w:t xml:space="preserve">Draft mock-up; colour blocks stand in for campaign photography.</w:t>
      </w:r>
    </w:p>
    <w:p>
      <w:pPr>
        <w:pStyle w:val="Heading1"/>
      </w:pPr>
      <w:r>
        <w:t xml:space="preserve">5. Media Strategy and Budget</w:t>
      </w:r>
    </w:p>
    <w:p>
      <w:pPr>
        <w:spacing w:after="160" w:line="288"/>
      </w:pPr>
      <w:r>
        <w:t xml:space="preserve">Media planning balances reach for awareness against frequency for persuasion (Belch &amp; Belch, 2021), and the campaign splits that job. Outdoor, Spotify and geo-targeted social provide reach for </w:t>
      </w:r>
      <w:r>
        <w:rPr>
          <w:i/>
          <w:iCs/>
        </w:rPr>
        <w:t xml:space="preserve">Find us</w:t>
      </w:r>
      <w:r>
        <w:t xml:space="preserve">; creators and sessions provide depth for </w:t>
      </w:r>
      <w:r>
        <w:rPr>
          <w:i/>
          <w:iCs/>
        </w:rPr>
        <w:t xml:space="preserve">Worth it</w:t>
      </w:r>
      <w:r>
        <w:t xml:space="preserve"> and </w:t>
      </w:r>
      <w:r>
        <w:rPr>
          <w:i/>
          <w:iCs/>
        </w:rPr>
        <w:t xml:space="preserve">Made for Sydney's day</w:t>
      </w:r>
      <w:r>
        <w:t xml:space="preserve">. The media objective is to reach 70% of Segment A at least once in Burst 1, at an average frequency of four, and to retarget 20% of those exposed in Burst 3. Geographic coverage is Greater Sydney, weighted to the catchments around Chatswood Chase, The Galeries and Bondi Junction. Vehicles are Instagram Reels and Stories, TikTok in-feed ads with boosted creator posts, Spotify audio ads, and bus-side panels on routes serving the three stores. Television and print were excluded as unaffordable at useful frequency and less efficient for this audience. Filmed sessions and styling guides form the content-marketing layer on owned channels. Outdoor has low audience selectivity (Belch &amp; Belch, 2021), so it carries only the store line, near the stores. Spotify reaches commuting and workout moments but cannot show the set, so it uses sound cues. Retargeting then follows anyone exposed, and it works best once consumers have formed preferences (Lambrecht &amp; Tucker, 2013). Publicity depends on newsworthiness (Belch &amp; Belch, 2021), and a branded class is not news, so the hook is a free Bondi-to-Bronte walk series. Sessions also act as a free trial, which reduces purchase risk without a price cut (Belch &amp; Belch, 2021).</w:t>
      </w:r>
    </w:p>
    <w:p>
      <w:pPr>
        <w:keepNext/>
        <w:spacing w:after="40" w:before="200"/>
      </w:pPr>
      <w:r>
        <w:rPr>
          <w:b/>
          <w:bCs/>
        </w:rPr>
        <w:t xml:space="preserve">Table 4</w:t>
      </w:r>
    </w:p>
    <w:p>
      <w:pPr>
        <w:keepNext/>
        <w:spacing w:after="100"/>
      </w:pPr>
      <w:r>
        <w:rPr>
          <w:i/>
          <w:iCs/>
        </w:rPr>
        <w:t xml:space="preserve">Media Mix</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2313"/>
        <w:gridCol w:w="1542"/>
        <w:gridCol w:w="2892"/>
      </w:tblGrid>
      <w:tr>
        <w:trPr>
          <w:tblHeader/>
        </w:trPr>
        <w:tc>
          <w:tcPr>
            <w:tcW w:type="dxa" w:w="2891"/>
            <w:tcBorders>
              <w:top w:val="single" w:color="C9CED2" w:sz="4"/>
              <w:left w:val="single" w:color="C9CED2" w:sz="4"/>
              <w:bottom w:val="single" w:color="C9CED2" w:sz="4"/>
              <w:right w:val="single" w:color="C9CED2" w:sz="4"/>
            </w:tcBorders>
            <w:shd w:fill="1E2A32" w:color="auto" w:val="clear"/>
            <w:tcMar>
              <w:top w:type="dxa" w:w="60"/>
              <w:left w:type="dxa" w:w="90"/>
              <w:bottom w:type="dxa" w:w="60"/>
              <w:right w:type="dxa" w:w="90"/>
            </w:tcMar>
          </w:tcPr>
          <w:p>
            <w:pPr>
              <w:spacing w:after="0" w:line="252"/>
            </w:pPr>
            <w:r>
              <w:rPr>
                <w:b/>
                <w:bCs/>
                <w:color w:val="FFFFFF"/>
                <w:sz w:val="17"/>
                <w:szCs w:val="17"/>
              </w:rPr>
              <w:t xml:space="preserve">Vehicle</w:t>
            </w:r>
          </w:p>
        </w:tc>
        <w:tc>
          <w:tcPr>
            <w:tcW w:type="dxa" w:w="2313"/>
            <w:tcBorders>
              <w:top w:val="single" w:color="C9CED2" w:sz="4"/>
              <w:left w:val="single" w:color="C9CED2" w:sz="4"/>
              <w:bottom w:val="single" w:color="C9CED2" w:sz="4"/>
              <w:right w:val="single" w:color="C9CED2" w:sz="4"/>
            </w:tcBorders>
            <w:shd w:fill="1E2A32" w:color="auto" w:val="clear"/>
            <w:tcMar>
              <w:top w:type="dxa" w:w="60"/>
              <w:left w:type="dxa" w:w="90"/>
              <w:bottom w:type="dxa" w:w="60"/>
              <w:right w:type="dxa" w:w="90"/>
            </w:tcMar>
          </w:tcPr>
          <w:p>
            <w:pPr>
              <w:spacing w:after="0" w:line="252"/>
            </w:pPr>
            <w:r>
              <w:rPr>
                <w:b/>
                <w:bCs/>
                <w:color w:val="FFFFFF"/>
                <w:sz w:val="17"/>
                <w:szCs w:val="17"/>
              </w:rPr>
              <w:t xml:space="preserve">Pillar</w:t>
            </w:r>
          </w:p>
        </w:tc>
        <w:tc>
          <w:tcPr>
            <w:tcW w:type="dxa" w:w="1542"/>
            <w:tcBorders>
              <w:top w:val="single" w:color="C9CED2" w:sz="4"/>
              <w:left w:val="single" w:color="C9CED2" w:sz="4"/>
              <w:bottom w:val="single" w:color="C9CED2" w:sz="4"/>
              <w:right w:val="single" w:color="C9CED2" w:sz="4"/>
            </w:tcBorders>
            <w:shd w:fill="1E2A32" w:color="auto" w:val="clear"/>
            <w:tcMar>
              <w:top w:type="dxa" w:w="60"/>
              <w:left w:type="dxa" w:w="90"/>
              <w:bottom w:type="dxa" w:w="60"/>
              <w:right w:type="dxa" w:w="90"/>
            </w:tcMar>
          </w:tcPr>
          <w:p>
            <w:pPr>
              <w:spacing w:after="0" w:line="252"/>
            </w:pPr>
            <w:r>
              <w:rPr>
                <w:b/>
                <w:bCs/>
                <w:color w:val="FFFFFF"/>
                <w:sz w:val="17"/>
                <w:szCs w:val="17"/>
              </w:rPr>
              <w:t xml:space="preserve">Type</w:t>
            </w:r>
          </w:p>
        </w:tc>
        <w:tc>
          <w:tcPr>
            <w:tcW w:type="dxa" w:w="2892"/>
            <w:tcBorders>
              <w:top w:val="single" w:color="C9CED2" w:sz="4"/>
              <w:left w:val="single" w:color="C9CED2" w:sz="4"/>
              <w:bottom w:val="single" w:color="C9CED2" w:sz="4"/>
              <w:right w:val="single" w:color="C9CED2" w:sz="4"/>
            </w:tcBorders>
            <w:shd w:fill="1E2A32" w:color="auto" w:val="clear"/>
            <w:tcMar>
              <w:top w:type="dxa" w:w="60"/>
              <w:left w:type="dxa" w:w="90"/>
              <w:bottom w:type="dxa" w:w="60"/>
              <w:right w:type="dxa" w:w="90"/>
            </w:tcMar>
          </w:tcPr>
          <w:p>
            <w:pPr>
              <w:spacing w:after="0" w:line="252"/>
            </w:pPr>
            <w:r>
              <w:rPr>
                <w:b/>
                <w:bCs/>
                <w:color w:val="FFFFFF"/>
                <w:sz w:val="17"/>
                <w:szCs w:val="17"/>
              </w:rPr>
              <w:t xml:space="preserve">Role</w:t>
            </w:r>
          </w:p>
        </w:tc>
      </w:tr>
      <w:tr>
        <w:trPr>
          <w:cantSplit/>
        </w:trPr>
        <w:tc>
          <w:tcPr>
            <w:tcW w:type="dxa" w:w="2891"/>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bCs/>
                <w:color w:val="1E2A32"/>
                <w:sz w:val="17"/>
                <w:szCs w:val="17"/>
              </w:rPr>
              <w:t xml:space="preserve">Outdoor near stores</w:t>
            </w:r>
          </w:p>
        </w:tc>
        <w:tc>
          <w:tcPr>
            <w:tcW w:type="dxa" w:w="2313"/>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Find us</w:t>
            </w:r>
          </w:p>
        </w:tc>
        <w:tc>
          <w:tcPr>
            <w:tcW w:type="dxa" w:w="1542"/>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Paid</w:t>
            </w:r>
          </w:p>
        </w:tc>
        <w:tc>
          <w:tcPr>
            <w:tcW w:type="dxa" w:w="2892"/>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Reach, store cue</w:t>
            </w:r>
          </w:p>
        </w:tc>
      </w:tr>
      <w:tr>
        <w:trPr>
          <w:cantSplit/>
        </w:trPr>
        <w:tc>
          <w:tcPr>
            <w:tcW w:type="dxa" w:w="2891"/>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bCs/>
                <w:color w:val="1E2A32"/>
                <w:sz w:val="17"/>
                <w:szCs w:val="17"/>
              </w:rPr>
              <w:t xml:space="preserve">Spotify audio</w:t>
            </w:r>
          </w:p>
        </w:tc>
        <w:tc>
          <w:tcPr>
            <w:tcW w:type="dxa" w:w="2313"/>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Sydney's day</w:t>
            </w:r>
          </w:p>
        </w:tc>
        <w:tc>
          <w:tcPr>
            <w:tcW w:type="dxa" w:w="1542"/>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Paid</w:t>
            </w:r>
          </w:p>
        </w:tc>
        <w:tc>
          <w:tcPr>
            <w:tcW w:type="dxa" w:w="2892"/>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Reach</w:t>
            </w:r>
          </w:p>
        </w:tc>
      </w:tr>
      <w:tr>
        <w:trPr>
          <w:cantSplit/>
        </w:trPr>
        <w:tc>
          <w:tcPr>
            <w:tcW w:type="dxa" w:w="2891"/>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bCs/>
                <w:color w:val="1E2A32"/>
                <w:sz w:val="17"/>
                <w:szCs w:val="17"/>
              </w:rPr>
              <w:t xml:space="preserve">Paid social, retargeting</w:t>
            </w:r>
          </w:p>
        </w:tc>
        <w:tc>
          <w:tcPr>
            <w:tcW w:type="dxa" w:w="2313"/>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All</w:t>
            </w:r>
          </w:p>
        </w:tc>
        <w:tc>
          <w:tcPr>
            <w:tcW w:type="dxa" w:w="1542"/>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Paid</w:t>
            </w:r>
          </w:p>
        </w:tc>
        <w:tc>
          <w:tcPr>
            <w:tcW w:type="dxa" w:w="2892"/>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Reach, then frequency</w:t>
            </w:r>
          </w:p>
        </w:tc>
      </w:tr>
      <w:tr>
        <w:trPr>
          <w:cantSplit/>
        </w:trPr>
        <w:tc>
          <w:tcPr>
            <w:tcW w:type="dxa" w:w="2891"/>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bCs/>
                <w:color w:val="1E2A32"/>
                <w:sz w:val="17"/>
                <w:szCs w:val="17"/>
              </w:rPr>
              <w:t xml:space="preserve">Creators</w:t>
            </w:r>
          </w:p>
        </w:tc>
        <w:tc>
          <w:tcPr>
            <w:tcW w:type="dxa" w:w="2313"/>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Sydney's day</w:t>
            </w:r>
          </w:p>
        </w:tc>
        <w:tc>
          <w:tcPr>
            <w:tcW w:type="dxa" w:w="1542"/>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Paid → earned</w:t>
            </w:r>
          </w:p>
        </w:tc>
        <w:tc>
          <w:tcPr>
            <w:tcW w:type="dxa" w:w="2892"/>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Credibility</w:t>
            </w:r>
          </w:p>
        </w:tc>
      </w:tr>
      <w:tr>
        <w:trPr>
          <w:cantSplit/>
        </w:trPr>
        <w:tc>
          <w:tcPr>
            <w:tcW w:type="dxa" w:w="2891"/>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bCs/>
                <w:color w:val="1E2A32"/>
                <w:sz w:val="17"/>
                <w:szCs w:val="17"/>
              </w:rPr>
              <w:t xml:space="preserve">Sanctuary Sessions, PR</w:t>
            </w:r>
          </w:p>
        </w:tc>
        <w:tc>
          <w:tcPr>
            <w:tcW w:type="dxa" w:w="2313"/>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Worth it</w:t>
            </w:r>
          </w:p>
        </w:tc>
        <w:tc>
          <w:tcPr>
            <w:tcW w:type="dxa" w:w="1542"/>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Earned</w:t>
            </w:r>
          </w:p>
        </w:tc>
        <w:tc>
          <w:tcPr>
            <w:tcW w:type="dxa" w:w="2892"/>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Trial, credibility</w:t>
            </w:r>
          </w:p>
        </w:tc>
      </w:tr>
      <w:tr>
        <w:trPr>
          <w:cantSplit/>
        </w:trPr>
        <w:tc>
          <w:tcPr>
            <w:tcW w:type="dxa" w:w="2891"/>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bCs/>
                <w:color w:val="1E2A32"/>
                <w:sz w:val="17"/>
                <w:szCs w:val="17"/>
              </w:rPr>
              <w:t xml:space="preserve">Owned social, emails</w:t>
            </w:r>
          </w:p>
        </w:tc>
        <w:tc>
          <w:tcPr>
            <w:tcW w:type="dxa" w:w="2313"/>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Find us</w:t>
            </w:r>
          </w:p>
        </w:tc>
        <w:tc>
          <w:tcPr>
            <w:tcW w:type="dxa" w:w="1542"/>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Owned</w:t>
            </w:r>
          </w:p>
        </w:tc>
        <w:tc>
          <w:tcPr>
            <w:tcW w:type="dxa" w:w="2892"/>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Conversion</w:t>
            </w:r>
          </w:p>
        </w:tc>
      </w:tr>
    </w:tbl>
    <w:p>
      <w:pPr>
        <w:spacing w:after="160"/>
      </w:pPr>
    </w:p>
    <w:p>
      <w:pPr>
        <w:spacing w:after="160" w:line="288"/>
      </w:pPr>
      <w:r>
        <w:t xml:space="preserve">Interest decays after each novelty spike (Appendix A), so scheduling uses </w:t>
      </w:r>
      <w:r>
        <w:rPr>
          <w:b/>
          <w:bCs/>
        </w:rPr>
        <w:t xml:space="preserve">pulsing</w:t>
      </w:r>
      <w:r>
        <w:t xml:space="preserve">: an always-on base with three bursts (Belch &amp; Belch, 2021; Figure 8). Burst 1 (weeks 1–3) builds awareness, Burst 2 (weeks 6–8) builds consideration, and Burst 3 (weeks 11–12) drives visits and advocacy. Flighting would leave gaps in which interest decays, and full continuous weight is unaffordable.</w:t>
      </w:r>
    </w:p>
    <w:p>
      <w:pPr>
        <w:keepNext/>
        <w:spacing w:after="40" w:before="200"/>
      </w:pPr>
      <w:r>
        <w:rPr>
          <w:b/>
          <w:bCs/>
        </w:rPr>
        <w:t xml:space="preserve">Figure 8</w:t>
      </w:r>
    </w:p>
    <w:p>
      <w:pPr>
        <w:keepNext/>
        <w:spacing w:after="100"/>
      </w:pPr>
      <w:r>
        <w:rPr>
          <w:i/>
          <w:iCs/>
        </w:rPr>
        <w:t xml:space="preserve">Twelve-Week Pulsing Schedule, 4 January – 28 March 2027</w:t>
      </w:r>
    </w:p>
    <w:p>
      <w:pPr>
        <w:keepNext/>
        <w:spacing w:after="80"/>
        <w:jc w:val="center"/>
      </w:pPr>
      <w:r>
        <w:drawing>
          <wp:inline distT="0" distB="0" distL="0" distR="0">
            <wp:extent cx="6035040" cy="2276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035040" cy="2276475"/>
                    </a:xfrm>
                    <a:prstGeom prst="rect">
                      <a:avLst/>
                    </a:prstGeom>
                  </pic:spPr>
                </pic:pic>
              </a:graphicData>
            </a:graphic>
          </wp:inline>
        </w:drawing>
      </w:r>
    </w:p>
    <w:p>
      <w:pPr>
        <w:spacing w:after="240"/>
      </w:pPr>
      <w:r>
        <w:rPr>
          <w:i/>
          <w:iCs/>
          <w:color w:val="5B6770"/>
          <w:sz w:val="19"/>
          <w:szCs w:val="19"/>
        </w:rPr>
        <w:t xml:space="preserve">Note. </w:t>
      </w:r>
      <w:r>
        <w:rPr>
          <w:color w:val="5B6770"/>
          <w:sz w:val="19"/>
          <w:szCs w:val="19"/>
        </w:rPr>
        <w:t xml:space="preserve">Agency media plan. Pre- and post-campaign surveys run in December 2026 and April 2027.</w:t>
      </w:r>
    </w:p>
    <w:p>
      <w:pPr>
        <w:spacing w:after="160" w:line="288"/>
      </w:pPr>
      <w:r>
        <w:t xml:space="preserve">The budget uses the objective-and-task method (Belch &amp; Belch, 2021). Partnerships receive 42% because they span paid, owned and earned media (Stephen &amp; Galak, 2012): a creator partnership is paid, its content is reused on Alo's owned channels, and audiences share it as earned media. Costs follow published benchmarks. Australian micro-creators charge roughly A$150–750 per post (Wise, 2025), so A$50,000 funds about 40 micro posts plus the lead and macro creators. Sydney bus-side panels start at about A$150 per week plus A$375 production (GoTransit, n.d.), so outdoor buys about 40 panels for three weeks with beach-side posters. At Instagram CPMs of about US$8 (Admetrics, 2025), paid social delivers several million impressions, enough for the Burst 1 reach target. Sanctuary Sessions, the largest line, are costed bottom-up: Sydney Pilates studios hire for about A$50–120 an hour (Tagvenue, 2025) and instructors earn about A$36 an hour (Payscale, 2026), so 36 sessions cost roughly A$15,000; trial product (A$15,000), filming (A$15,000) and the walk series (A$10,000) make up the rest. The split also reflects Binet and Field's (2013) finding that effective campaigns weight brand building over activation by about 60:40; here outdoor, audio, creators, production and PR take 57% of working budget. The weakness is that only 40% buys traditional reach, so if Burst 1 misses its reach target, the contingency moves into paid social.</w:t>
      </w:r>
    </w:p>
    <w:p>
      <w:pPr>
        <w:keepNext/>
        <w:spacing w:after="40" w:before="200"/>
      </w:pPr>
      <w:r>
        <w:rPr>
          <w:b/>
          <w:bCs/>
        </w:rPr>
        <w:t xml:space="preserve">Table 5</w:t>
      </w:r>
    </w:p>
    <w:p>
      <w:pPr>
        <w:keepNext/>
        <w:spacing w:after="100"/>
      </w:pPr>
      <w:r>
        <w:rPr>
          <w:i/>
          <w:iCs/>
        </w:rPr>
        <w:t xml:space="preserve">Budget (A$)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241"/>
        <w:gridCol w:w="3084"/>
        <w:gridCol w:w="1157"/>
        <w:gridCol w:w="1156"/>
      </w:tblGrid>
      <w:tr>
        <w:trPr>
          <w:tblHeader/>
        </w:trPr>
        <w:tc>
          <w:tcPr>
            <w:tcW w:type="dxa" w:w="4241"/>
            <w:tcBorders>
              <w:top w:val="single" w:color="C9CED2" w:sz="4"/>
              <w:left w:val="single" w:color="C9CED2" w:sz="4"/>
              <w:bottom w:val="single" w:color="C9CED2" w:sz="4"/>
              <w:right w:val="single" w:color="C9CED2" w:sz="4"/>
            </w:tcBorders>
            <w:shd w:fill="1E2A32" w:color="auto" w:val="clear"/>
            <w:tcMar>
              <w:top w:type="dxa" w:w="60"/>
              <w:left w:type="dxa" w:w="90"/>
              <w:bottom w:type="dxa" w:w="60"/>
              <w:right w:type="dxa" w:w="90"/>
            </w:tcMar>
          </w:tcPr>
          <w:p>
            <w:pPr>
              <w:spacing w:after="0" w:line="252"/>
            </w:pPr>
            <w:r>
              <w:rPr>
                <w:b/>
                <w:bCs/>
                <w:color w:val="FFFFFF"/>
                <w:sz w:val="17"/>
                <w:szCs w:val="17"/>
              </w:rPr>
              <w:t xml:space="preserve">Line item</w:t>
            </w:r>
          </w:p>
        </w:tc>
        <w:tc>
          <w:tcPr>
            <w:tcW w:type="dxa" w:w="3084"/>
            <w:tcBorders>
              <w:top w:val="single" w:color="C9CED2" w:sz="4"/>
              <w:left w:val="single" w:color="C9CED2" w:sz="4"/>
              <w:bottom w:val="single" w:color="C9CED2" w:sz="4"/>
              <w:right w:val="single" w:color="C9CED2" w:sz="4"/>
            </w:tcBorders>
            <w:shd w:fill="1E2A32" w:color="auto" w:val="clear"/>
            <w:tcMar>
              <w:top w:type="dxa" w:w="60"/>
              <w:left w:type="dxa" w:w="90"/>
              <w:bottom w:type="dxa" w:w="60"/>
              <w:right w:type="dxa" w:w="90"/>
            </w:tcMar>
          </w:tcPr>
          <w:p>
            <w:pPr>
              <w:spacing w:after="0" w:line="252"/>
            </w:pPr>
            <w:r>
              <w:rPr>
                <w:b/>
                <w:bCs/>
                <w:color w:val="FFFFFF"/>
                <w:sz w:val="17"/>
                <w:szCs w:val="17"/>
              </w:rPr>
              <w:t xml:space="preserve">Category</w:t>
            </w:r>
          </w:p>
        </w:tc>
        <w:tc>
          <w:tcPr>
            <w:tcW w:type="dxa" w:w="1157"/>
            <w:tcBorders>
              <w:top w:val="single" w:color="C9CED2" w:sz="4"/>
              <w:left w:val="single" w:color="C9CED2" w:sz="4"/>
              <w:bottom w:val="single" w:color="C9CED2" w:sz="4"/>
              <w:right w:val="single" w:color="C9CED2" w:sz="4"/>
            </w:tcBorders>
            <w:shd w:fill="1E2A32" w:color="auto" w:val="clear"/>
            <w:tcMar>
              <w:top w:type="dxa" w:w="60"/>
              <w:left w:type="dxa" w:w="90"/>
              <w:bottom w:type="dxa" w:w="60"/>
              <w:right w:type="dxa" w:w="90"/>
            </w:tcMar>
          </w:tcPr>
          <w:p>
            <w:pPr>
              <w:spacing w:after="0" w:line="252"/>
            </w:pPr>
            <w:r>
              <w:rPr>
                <w:b/>
                <w:bCs/>
                <w:color w:val="FFFFFF"/>
                <w:sz w:val="17"/>
                <w:szCs w:val="17"/>
              </w:rPr>
              <w:t xml:space="preserve">A$</w:t>
            </w:r>
          </w:p>
        </w:tc>
        <w:tc>
          <w:tcPr>
            <w:tcW w:type="dxa" w:w="1156"/>
            <w:tcBorders>
              <w:top w:val="single" w:color="C9CED2" w:sz="4"/>
              <w:left w:val="single" w:color="C9CED2" w:sz="4"/>
              <w:bottom w:val="single" w:color="C9CED2" w:sz="4"/>
              <w:right w:val="single" w:color="C9CED2" w:sz="4"/>
            </w:tcBorders>
            <w:shd w:fill="1E2A32" w:color="auto" w:val="clear"/>
            <w:tcMar>
              <w:top w:type="dxa" w:w="60"/>
              <w:left w:type="dxa" w:w="90"/>
              <w:bottom w:type="dxa" w:w="60"/>
              <w:right w:type="dxa" w:w="90"/>
            </w:tcMar>
          </w:tcPr>
          <w:p>
            <w:pPr>
              <w:spacing w:after="0" w:line="252"/>
            </w:pPr>
            <w:r>
              <w:rPr>
                <w:b/>
                <w:bCs/>
                <w:color w:val="FFFFFF"/>
                <w:sz w:val="17"/>
                <w:szCs w:val="17"/>
              </w:rPr>
              <w:t xml:space="preserve">%</w:t>
            </w:r>
          </w:p>
        </w:tc>
      </w:tr>
      <w:tr>
        <w:trPr>
          <w:cantSplit/>
        </w:trPr>
        <w:tc>
          <w:tcPr>
            <w:tcW w:type="dxa" w:w="4241"/>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Paid social</w:t>
            </w:r>
          </w:p>
        </w:tc>
        <w:tc>
          <w:tcPr>
            <w:tcW w:type="dxa" w:w="3084"/>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A. Paid media</w:t>
            </w:r>
          </w:p>
        </w:tc>
        <w:tc>
          <w:tcPr>
            <w:tcW w:type="dxa" w:w="1157"/>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45,000</w:t>
            </w:r>
          </w:p>
        </w:tc>
        <w:tc>
          <w:tcPr>
            <w:tcW w:type="dxa" w:w="1156"/>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18</w:t>
            </w:r>
          </w:p>
        </w:tc>
      </w:tr>
      <w:tr>
        <w:trPr>
          <w:cantSplit/>
        </w:trPr>
        <w:tc>
          <w:tcPr>
            <w:tcW w:type="dxa" w:w="4241"/>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Outdoor</w:t>
            </w:r>
          </w:p>
        </w:tc>
        <w:tc>
          <w:tcPr>
            <w:tcW w:type="dxa" w:w="3084"/>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A. Paid media</w:t>
            </w:r>
          </w:p>
        </w:tc>
        <w:tc>
          <w:tcPr>
            <w:tcW w:type="dxa" w:w="1157"/>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40,000</w:t>
            </w:r>
          </w:p>
        </w:tc>
        <w:tc>
          <w:tcPr>
            <w:tcW w:type="dxa" w:w="1156"/>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16</w:t>
            </w:r>
          </w:p>
        </w:tc>
      </w:tr>
      <w:tr>
        <w:trPr>
          <w:cantSplit/>
        </w:trPr>
        <w:tc>
          <w:tcPr>
            <w:tcW w:type="dxa" w:w="4241"/>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Spotify audio</w:t>
            </w:r>
          </w:p>
        </w:tc>
        <w:tc>
          <w:tcPr>
            <w:tcW w:type="dxa" w:w="3084"/>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A. Paid media</w:t>
            </w:r>
          </w:p>
        </w:tc>
        <w:tc>
          <w:tcPr>
            <w:tcW w:type="dxa" w:w="1157"/>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15,000</w:t>
            </w:r>
          </w:p>
        </w:tc>
        <w:tc>
          <w:tcPr>
            <w:tcW w:type="dxa" w:w="1156"/>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6</w:t>
            </w:r>
          </w:p>
        </w:tc>
      </w:tr>
      <w:tr>
        <w:trPr>
          <w:cantSplit/>
        </w:trPr>
        <w:tc>
          <w:tcPr>
            <w:tcW w:type="dxa" w:w="4241"/>
            <w:tcBorders>
              <w:top w:val="single" w:color="C9CED2" w:sz="4"/>
              <w:left w:val="single" w:color="C9CED2" w:sz="4"/>
              <w:bottom w:val="single" w:color="C9CED2" w:sz="4"/>
              <w:right w:val="single" w:color="C9CED2" w:sz="4"/>
            </w:tcBorders>
            <w:shd w:fill="EFE7DA" w:color="auto" w:val="clear"/>
            <w:tcMar>
              <w:top w:type="dxa" w:w="60"/>
              <w:left w:type="dxa" w:w="90"/>
              <w:bottom w:type="dxa" w:w="60"/>
              <w:right w:type="dxa" w:w="90"/>
            </w:tcMar>
          </w:tcPr>
          <w:p>
            <w:pPr>
              <w:spacing w:after="0" w:line="252"/>
            </w:pPr>
            <w:r>
              <w:rPr>
                <w:b/>
                <w:bCs/>
                <w:color w:val="1E2A32"/>
                <w:sz w:val="17"/>
                <w:szCs w:val="17"/>
              </w:rPr>
              <w:t xml:space="preserve">Subtotal A</w:t>
            </w:r>
          </w:p>
        </w:tc>
        <w:tc>
          <w:tcPr>
            <w:tcW w:type="dxa" w:w="3084"/>
            <w:tcBorders>
              <w:top w:val="single" w:color="C9CED2" w:sz="4"/>
              <w:left w:val="single" w:color="C9CED2" w:sz="4"/>
              <w:bottom w:val="single" w:color="C9CED2" w:sz="4"/>
              <w:right w:val="single" w:color="C9CED2" w:sz="4"/>
            </w:tcBorders>
            <w:shd w:fill="EFE7DA" w:color="auto" w:val="clear"/>
            <w:tcMar>
              <w:top w:type="dxa" w:w="60"/>
              <w:left w:type="dxa" w:w="90"/>
              <w:bottom w:type="dxa" w:w="60"/>
              <w:right w:type="dxa" w:w="90"/>
            </w:tcMar>
          </w:tcPr>
          <w:p>
            <w:pPr>
              <w:spacing w:after="0" w:line="252"/>
            </w:pPr>
          </w:p>
        </w:tc>
        <w:tc>
          <w:tcPr>
            <w:tcW w:type="dxa" w:w="1157"/>
            <w:tcBorders>
              <w:top w:val="single" w:color="C9CED2" w:sz="4"/>
              <w:left w:val="single" w:color="C9CED2" w:sz="4"/>
              <w:bottom w:val="single" w:color="C9CED2" w:sz="4"/>
              <w:right w:val="single" w:color="C9CED2" w:sz="4"/>
            </w:tcBorders>
            <w:shd w:fill="EFE7DA" w:color="auto" w:val="clear"/>
            <w:tcMar>
              <w:top w:type="dxa" w:w="60"/>
              <w:left w:type="dxa" w:w="90"/>
              <w:bottom w:type="dxa" w:w="60"/>
              <w:right w:type="dxa" w:w="90"/>
            </w:tcMar>
          </w:tcPr>
          <w:p>
            <w:pPr>
              <w:spacing w:after="0" w:line="252"/>
            </w:pPr>
            <w:r>
              <w:rPr>
                <w:b/>
                <w:bCs/>
                <w:color w:val="1E2A32"/>
                <w:sz w:val="17"/>
                <w:szCs w:val="17"/>
              </w:rPr>
              <w:t xml:space="preserve">100,000</w:t>
            </w:r>
          </w:p>
        </w:tc>
        <w:tc>
          <w:tcPr>
            <w:tcW w:type="dxa" w:w="1156"/>
            <w:tcBorders>
              <w:top w:val="single" w:color="C9CED2" w:sz="4"/>
              <w:left w:val="single" w:color="C9CED2" w:sz="4"/>
              <w:bottom w:val="single" w:color="C9CED2" w:sz="4"/>
              <w:right w:val="single" w:color="C9CED2" w:sz="4"/>
            </w:tcBorders>
            <w:shd w:fill="EFE7DA" w:color="auto" w:val="clear"/>
            <w:tcMar>
              <w:top w:type="dxa" w:w="60"/>
              <w:left w:type="dxa" w:w="90"/>
              <w:bottom w:type="dxa" w:w="60"/>
              <w:right w:type="dxa" w:w="90"/>
            </w:tcMar>
          </w:tcPr>
          <w:p>
            <w:pPr>
              <w:spacing w:after="0" w:line="252"/>
            </w:pPr>
            <w:r>
              <w:rPr>
                <w:b/>
                <w:bCs/>
                <w:color w:val="1E2A32"/>
                <w:sz w:val="17"/>
                <w:szCs w:val="17"/>
              </w:rPr>
              <w:t xml:space="preserve">40</w:t>
            </w:r>
          </w:p>
        </w:tc>
      </w:tr>
      <w:tr>
        <w:trPr>
          <w:cantSplit/>
        </w:trPr>
        <w:tc>
          <w:tcPr>
            <w:tcW w:type="dxa" w:w="4241"/>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Sanctuary Sessions and instructors</w:t>
            </w:r>
          </w:p>
        </w:tc>
        <w:tc>
          <w:tcPr>
            <w:tcW w:type="dxa" w:w="3084"/>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B. Partnerships</w:t>
            </w:r>
          </w:p>
        </w:tc>
        <w:tc>
          <w:tcPr>
            <w:tcW w:type="dxa" w:w="1157"/>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55,000</w:t>
            </w:r>
          </w:p>
        </w:tc>
        <w:tc>
          <w:tcPr>
            <w:tcW w:type="dxa" w:w="1156"/>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22</w:t>
            </w:r>
          </w:p>
        </w:tc>
      </w:tr>
      <w:tr>
        <w:trPr>
          <w:cantSplit/>
        </w:trPr>
        <w:tc>
          <w:tcPr>
            <w:tcW w:type="dxa" w:w="4241"/>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Creator partnerships</w:t>
            </w:r>
          </w:p>
        </w:tc>
        <w:tc>
          <w:tcPr>
            <w:tcW w:type="dxa" w:w="3084"/>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B. Partnerships</w:t>
            </w:r>
          </w:p>
        </w:tc>
        <w:tc>
          <w:tcPr>
            <w:tcW w:type="dxa" w:w="1157"/>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50,000</w:t>
            </w:r>
          </w:p>
        </w:tc>
        <w:tc>
          <w:tcPr>
            <w:tcW w:type="dxa" w:w="1156"/>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20</w:t>
            </w:r>
          </w:p>
        </w:tc>
      </w:tr>
      <w:tr>
        <w:trPr>
          <w:cantSplit/>
        </w:trPr>
        <w:tc>
          <w:tcPr>
            <w:tcW w:type="dxa" w:w="4241"/>
            <w:tcBorders>
              <w:top w:val="single" w:color="C9CED2" w:sz="4"/>
              <w:left w:val="single" w:color="C9CED2" w:sz="4"/>
              <w:bottom w:val="single" w:color="C9CED2" w:sz="4"/>
              <w:right w:val="single" w:color="C9CED2" w:sz="4"/>
            </w:tcBorders>
            <w:shd w:fill="EFE7DA" w:color="auto" w:val="clear"/>
            <w:tcMar>
              <w:top w:type="dxa" w:w="60"/>
              <w:left w:type="dxa" w:w="90"/>
              <w:bottom w:type="dxa" w:w="60"/>
              <w:right w:type="dxa" w:w="90"/>
            </w:tcMar>
          </w:tcPr>
          <w:p>
            <w:pPr>
              <w:spacing w:after="0" w:line="252"/>
            </w:pPr>
            <w:r>
              <w:rPr>
                <w:b/>
                <w:bCs/>
                <w:color w:val="1E2A32"/>
                <w:sz w:val="17"/>
                <w:szCs w:val="17"/>
              </w:rPr>
              <w:t xml:space="preserve">Subtotal B</w:t>
            </w:r>
          </w:p>
        </w:tc>
        <w:tc>
          <w:tcPr>
            <w:tcW w:type="dxa" w:w="3084"/>
            <w:tcBorders>
              <w:top w:val="single" w:color="C9CED2" w:sz="4"/>
              <w:left w:val="single" w:color="C9CED2" w:sz="4"/>
              <w:bottom w:val="single" w:color="C9CED2" w:sz="4"/>
              <w:right w:val="single" w:color="C9CED2" w:sz="4"/>
            </w:tcBorders>
            <w:shd w:fill="EFE7DA" w:color="auto" w:val="clear"/>
            <w:tcMar>
              <w:top w:type="dxa" w:w="60"/>
              <w:left w:type="dxa" w:w="90"/>
              <w:bottom w:type="dxa" w:w="60"/>
              <w:right w:type="dxa" w:w="90"/>
            </w:tcMar>
          </w:tcPr>
          <w:p>
            <w:pPr>
              <w:spacing w:after="0" w:line="252"/>
            </w:pPr>
          </w:p>
        </w:tc>
        <w:tc>
          <w:tcPr>
            <w:tcW w:type="dxa" w:w="1157"/>
            <w:tcBorders>
              <w:top w:val="single" w:color="C9CED2" w:sz="4"/>
              <w:left w:val="single" w:color="C9CED2" w:sz="4"/>
              <w:bottom w:val="single" w:color="C9CED2" w:sz="4"/>
              <w:right w:val="single" w:color="C9CED2" w:sz="4"/>
            </w:tcBorders>
            <w:shd w:fill="EFE7DA" w:color="auto" w:val="clear"/>
            <w:tcMar>
              <w:top w:type="dxa" w:w="60"/>
              <w:left w:type="dxa" w:w="90"/>
              <w:bottom w:type="dxa" w:w="60"/>
              <w:right w:type="dxa" w:w="90"/>
            </w:tcMar>
          </w:tcPr>
          <w:p>
            <w:pPr>
              <w:spacing w:after="0" w:line="252"/>
            </w:pPr>
            <w:r>
              <w:rPr>
                <w:b/>
                <w:bCs/>
                <w:color w:val="1E2A32"/>
                <w:sz w:val="17"/>
                <w:szCs w:val="17"/>
              </w:rPr>
              <w:t xml:space="preserve">105,000</w:t>
            </w:r>
          </w:p>
        </w:tc>
        <w:tc>
          <w:tcPr>
            <w:tcW w:type="dxa" w:w="1156"/>
            <w:tcBorders>
              <w:top w:val="single" w:color="C9CED2" w:sz="4"/>
              <w:left w:val="single" w:color="C9CED2" w:sz="4"/>
              <w:bottom w:val="single" w:color="C9CED2" w:sz="4"/>
              <w:right w:val="single" w:color="C9CED2" w:sz="4"/>
            </w:tcBorders>
            <w:shd w:fill="EFE7DA" w:color="auto" w:val="clear"/>
            <w:tcMar>
              <w:top w:type="dxa" w:w="60"/>
              <w:left w:type="dxa" w:w="90"/>
              <w:bottom w:type="dxa" w:w="60"/>
              <w:right w:type="dxa" w:w="90"/>
            </w:tcMar>
          </w:tcPr>
          <w:p>
            <w:pPr>
              <w:spacing w:after="0" w:line="252"/>
            </w:pPr>
            <w:r>
              <w:rPr>
                <w:b/>
                <w:bCs/>
                <w:color w:val="1E2A32"/>
                <w:sz w:val="17"/>
                <w:szCs w:val="17"/>
              </w:rPr>
              <w:t xml:space="preserve">42</w:t>
            </w:r>
          </w:p>
        </w:tc>
      </w:tr>
      <w:tr>
        <w:trPr>
          <w:cantSplit/>
        </w:trPr>
        <w:tc>
          <w:tcPr>
            <w:tcW w:type="dxa" w:w="4241"/>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Content production</w:t>
            </w:r>
          </w:p>
        </w:tc>
        <w:tc>
          <w:tcPr>
            <w:tcW w:type="dxa" w:w="3084"/>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C. Content and PR</w:t>
            </w:r>
          </w:p>
        </w:tc>
        <w:tc>
          <w:tcPr>
            <w:tcW w:type="dxa" w:w="1157"/>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20,000</w:t>
            </w:r>
          </w:p>
        </w:tc>
        <w:tc>
          <w:tcPr>
            <w:tcW w:type="dxa" w:w="1156"/>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8</w:t>
            </w:r>
          </w:p>
        </w:tc>
      </w:tr>
      <w:tr>
        <w:trPr>
          <w:cantSplit/>
        </w:trPr>
        <w:tc>
          <w:tcPr>
            <w:tcW w:type="dxa" w:w="4241"/>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PR and editorial</w:t>
            </w:r>
          </w:p>
        </w:tc>
        <w:tc>
          <w:tcPr>
            <w:tcW w:type="dxa" w:w="3084"/>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C. Content and PR</w:t>
            </w:r>
          </w:p>
        </w:tc>
        <w:tc>
          <w:tcPr>
            <w:tcW w:type="dxa" w:w="1157"/>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8,000</w:t>
            </w:r>
          </w:p>
        </w:tc>
        <w:tc>
          <w:tcPr>
            <w:tcW w:type="dxa" w:w="1156"/>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3.2</w:t>
            </w:r>
          </w:p>
        </w:tc>
      </w:tr>
      <w:tr>
        <w:trPr>
          <w:cantSplit/>
        </w:trPr>
        <w:tc>
          <w:tcPr>
            <w:tcW w:type="dxa" w:w="4241"/>
            <w:tcBorders>
              <w:top w:val="single" w:color="C9CED2" w:sz="4"/>
              <w:left w:val="single" w:color="C9CED2" w:sz="4"/>
              <w:bottom w:val="single" w:color="C9CED2" w:sz="4"/>
              <w:right w:val="single" w:color="C9CED2" w:sz="4"/>
            </w:tcBorders>
            <w:shd w:fill="EFE7DA" w:color="auto" w:val="clear"/>
            <w:tcMar>
              <w:top w:type="dxa" w:w="60"/>
              <w:left w:type="dxa" w:w="90"/>
              <w:bottom w:type="dxa" w:w="60"/>
              <w:right w:type="dxa" w:w="90"/>
            </w:tcMar>
          </w:tcPr>
          <w:p>
            <w:pPr>
              <w:spacing w:after="0" w:line="252"/>
            </w:pPr>
            <w:r>
              <w:rPr>
                <w:b/>
                <w:bCs/>
                <w:color w:val="1E2A32"/>
                <w:sz w:val="17"/>
                <w:szCs w:val="17"/>
              </w:rPr>
              <w:t xml:space="preserve">Subtotal C</w:t>
            </w:r>
          </w:p>
        </w:tc>
        <w:tc>
          <w:tcPr>
            <w:tcW w:type="dxa" w:w="3084"/>
            <w:tcBorders>
              <w:top w:val="single" w:color="C9CED2" w:sz="4"/>
              <w:left w:val="single" w:color="C9CED2" w:sz="4"/>
              <w:bottom w:val="single" w:color="C9CED2" w:sz="4"/>
              <w:right w:val="single" w:color="C9CED2" w:sz="4"/>
            </w:tcBorders>
            <w:shd w:fill="EFE7DA" w:color="auto" w:val="clear"/>
            <w:tcMar>
              <w:top w:type="dxa" w:w="60"/>
              <w:left w:type="dxa" w:w="90"/>
              <w:bottom w:type="dxa" w:w="60"/>
              <w:right w:type="dxa" w:w="90"/>
            </w:tcMar>
          </w:tcPr>
          <w:p>
            <w:pPr>
              <w:spacing w:after="0" w:line="252"/>
            </w:pPr>
          </w:p>
        </w:tc>
        <w:tc>
          <w:tcPr>
            <w:tcW w:type="dxa" w:w="1157"/>
            <w:tcBorders>
              <w:top w:val="single" w:color="C9CED2" w:sz="4"/>
              <w:left w:val="single" w:color="C9CED2" w:sz="4"/>
              <w:bottom w:val="single" w:color="C9CED2" w:sz="4"/>
              <w:right w:val="single" w:color="C9CED2" w:sz="4"/>
            </w:tcBorders>
            <w:shd w:fill="EFE7DA" w:color="auto" w:val="clear"/>
            <w:tcMar>
              <w:top w:type="dxa" w:w="60"/>
              <w:left w:type="dxa" w:w="90"/>
              <w:bottom w:type="dxa" w:w="60"/>
              <w:right w:type="dxa" w:w="90"/>
            </w:tcMar>
          </w:tcPr>
          <w:p>
            <w:pPr>
              <w:spacing w:after="0" w:line="252"/>
            </w:pPr>
            <w:r>
              <w:rPr>
                <w:b/>
                <w:bCs/>
                <w:color w:val="1E2A32"/>
                <w:sz w:val="17"/>
                <w:szCs w:val="17"/>
              </w:rPr>
              <w:t xml:space="preserve">28,000</w:t>
            </w:r>
          </w:p>
        </w:tc>
        <w:tc>
          <w:tcPr>
            <w:tcW w:type="dxa" w:w="1156"/>
            <w:tcBorders>
              <w:top w:val="single" w:color="C9CED2" w:sz="4"/>
              <w:left w:val="single" w:color="C9CED2" w:sz="4"/>
              <w:bottom w:val="single" w:color="C9CED2" w:sz="4"/>
              <w:right w:val="single" w:color="C9CED2" w:sz="4"/>
            </w:tcBorders>
            <w:shd w:fill="EFE7DA" w:color="auto" w:val="clear"/>
            <w:tcMar>
              <w:top w:type="dxa" w:w="60"/>
              <w:left w:type="dxa" w:w="90"/>
              <w:bottom w:type="dxa" w:w="60"/>
              <w:right w:type="dxa" w:w="90"/>
            </w:tcMar>
          </w:tcPr>
          <w:p>
            <w:pPr>
              <w:spacing w:after="0" w:line="252"/>
            </w:pPr>
            <w:r>
              <w:rPr>
                <w:b/>
                <w:bCs/>
                <w:color w:val="1E2A32"/>
                <w:sz w:val="17"/>
                <w:szCs w:val="17"/>
              </w:rPr>
              <w:t xml:space="preserve">11.2</w:t>
            </w:r>
          </w:p>
        </w:tc>
      </w:tr>
      <w:tr>
        <w:trPr>
          <w:cantSplit/>
        </w:trPr>
        <w:tc>
          <w:tcPr>
            <w:tcW w:type="dxa" w:w="4241"/>
            <w:tcBorders>
              <w:top w:val="single" w:color="C9CED2" w:sz="4"/>
              <w:left w:val="single" w:color="C9CED2" w:sz="4"/>
              <w:bottom w:val="single" w:color="C9CED2" w:sz="4"/>
              <w:right w:val="single" w:color="C9CED2" w:sz="4"/>
            </w:tcBorders>
            <w:shd w:fill="EFE7DA" w:color="auto" w:val="clear"/>
            <w:tcMar>
              <w:top w:type="dxa" w:w="60"/>
              <w:left w:type="dxa" w:w="90"/>
              <w:bottom w:type="dxa" w:w="60"/>
              <w:right w:type="dxa" w:w="90"/>
            </w:tcMar>
          </w:tcPr>
          <w:p>
            <w:pPr>
              <w:spacing w:after="0" w:line="252"/>
            </w:pPr>
            <w:r>
              <w:rPr>
                <w:b/>
                <w:bCs/>
                <w:color w:val="1E2A32"/>
                <w:sz w:val="17"/>
                <w:szCs w:val="17"/>
              </w:rPr>
              <w:t xml:space="preserve">Subtotal D: research (pre/post surveys)</w:t>
            </w:r>
          </w:p>
        </w:tc>
        <w:tc>
          <w:tcPr>
            <w:tcW w:type="dxa" w:w="3084"/>
            <w:tcBorders>
              <w:top w:val="single" w:color="C9CED2" w:sz="4"/>
              <w:left w:val="single" w:color="C9CED2" w:sz="4"/>
              <w:bottom w:val="single" w:color="C9CED2" w:sz="4"/>
              <w:right w:val="single" w:color="C9CED2" w:sz="4"/>
            </w:tcBorders>
            <w:shd w:fill="EFE7DA" w:color="auto" w:val="clear"/>
            <w:tcMar>
              <w:top w:type="dxa" w:w="60"/>
              <w:left w:type="dxa" w:w="90"/>
              <w:bottom w:type="dxa" w:w="60"/>
              <w:right w:type="dxa" w:w="90"/>
            </w:tcMar>
          </w:tcPr>
          <w:p>
            <w:pPr>
              <w:spacing w:after="0" w:line="252"/>
            </w:pPr>
          </w:p>
        </w:tc>
        <w:tc>
          <w:tcPr>
            <w:tcW w:type="dxa" w:w="1157"/>
            <w:tcBorders>
              <w:top w:val="single" w:color="C9CED2" w:sz="4"/>
              <w:left w:val="single" w:color="C9CED2" w:sz="4"/>
              <w:bottom w:val="single" w:color="C9CED2" w:sz="4"/>
              <w:right w:val="single" w:color="C9CED2" w:sz="4"/>
            </w:tcBorders>
            <w:shd w:fill="EFE7DA" w:color="auto" w:val="clear"/>
            <w:tcMar>
              <w:top w:type="dxa" w:w="60"/>
              <w:left w:type="dxa" w:w="90"/>
              <w:bottom w:type="dxa" w:w="60"/>
              <w:right w:type="dxa" w:w="90"/>
            </w:tcMar>
          </w:tcPr>
          <w:p>
            <w:pPr>
              <w:spacing w:after="0" w:line="252"/>
            </w:pPr>
            <w:r>
              <w:rPr>
                <w:b/>
                <w:bCs/>
                <w:color w:val="1E2A32"/>
                <w:sz w:val="17"/>
                <w:szCs w:val="17"/>
              </w:rPr>
              <w:t xml:space="preserve">5,000</w:t>
            </w:r>
          </w:p>
        </w:tc>
        <w:tc>
          <w:tcPr>
            <w:tcW w:type="dxa" w:w="1156"/>
            <w:tcBorders>
              <w:top w:val="single" w:color="C9CED2" w:sz="4"/>
              <w:left w:val="single" w:color="C9CED2" w:sz="4"/>
              <w:bottom w:val="single" w:color="C9CED2" w:sz="4"/>
              <w:right w:val="single" w:color="C9CED2" w:sz="4"/>
            </w:tcBorders>
            <w:shd w:fill="EFE7DA" w:color="auto" w:val="clear"/>
            <w:tcMar>
              <w:top w:type="dxa" w:w="60"/>
              <w:left w:type="dxa" w:w="90"/>
              <w:bottom w:type="dxa" w:w="60"/>
              <w:right w:type="dxa" w:w="90"/>
            </w:tcMar>
          </w:tcPr>
          <w:p>
            <w:pPr>
              <w:spacing w:after="0" w:line="252"/>
            </w:pPr>
            <w:r>
              <w:rPr>
                <w:b/>
                <w:bCs/>
                <w:color w:val="1E2A32"/>
                <w:sz w:val="17"/>
                <w:szCs w:val="17"/>
              </w:rPr>
              <w:t xml:space="preserve">2</w:t>
            </w:r>
          </w:p>
        </w:tc>
      </w:tr>
      <w:tr>
        <w:trPr>
          <w:cantSplit/>
        </w:trPr>
        <w:tc>
          <w:tcPr>
            <w:tcW w:type="dxa" w:w="4241"/>
            <w:tcBorders>
              <w:top w:val="single" w:color="C9CED2" w:sz="4"/>
              <w:left w:val="single" w:color="C9CED2" w:sz="4"/>
              <w:bottom w:val="single" w:color="C9CED2" w:sz="4"/>
              <w:right w:val="single" w:color="C9CED2" w:sz="4"/>
            </w:tcBorders>
            <w:shd w:fill="EFE7DA" w:color="auto" w:val="clear"/>
            <w:tcMar>
              <w:top w:type="dxa" w:w="60"/>
              <w:left w:type="dxa" w:w="90"/>
              <w:bottom w:type="dxa" w:w="60"/>
              <w:right w:type="dxa" w:w="90"/>
            </w:tcMar>
          </w:tcPr>
          <w:p>
            <w:pPr>
              <w:spacing w:after="0" w:line="252"/>
            </w:pPr>
            <w:r>
              <w:rPr>
                <w:b/>
                <w:bCs/>
                <w:color w:val="1E2A32"/>
                <w:sz w:val="17"/>
                <w:szCs w:val="17"/>
              </w:rPr>
              <w:t xml:space="preserve">Subtotal E: contingency</w:t>
            </w:r>
          </w:p>
        </w:tc>
        <w:tc>
          <w:tcPr>
            <w:tcW w:type="dxa" w:w="3084"/>
            <w:tcBorders>
              <w:top w:val="single" w:color="C9CED2" w:sz="4"/>
              <w:left w:val="single" w:color="C9CED2" w:sz="4"/>
              <w:bottom w:val="single" w:color="C9CED2" w:sz="4"/>
              <w:right w:val="single" w:color="C9CED2" w:sz="4"/>
            </w:tcBorders>
            <w:shd w:fill="EFE7DA" w:color="auto" w:val="clear"/>
            <w:tcMar>
              <w:top w:type="dxa" w:w="60"/>
              <w:left w:type="dxa" w:w="90"/>
              <w:bottom w:type="dxa" w:w="60"/>
              <w:right w:type="dxa" w:w="90"/>
            </w:tcMar>
          </w:tcPr>
          <w:p>
            <w:pPr>
              <w:spacing w:after="0" w:line="252"/>
            </w:pPr>
          </w:p>
        </w:tc>
        <w:tc>
          <w:tcPr>
            <w:tcW w:type="dxa" w:w="1157"/>
            <w:tcBorders>
              <w:top w:val="single" w:color="C9CED2" w:sz="4"/>
              <w:left w:val="single" w:color="C9CED2" w:sz="4"/>
              <w:bottom w:val="single" w:color="C9CED2" w:sz="4"/>
              <w:right w:val="single" w:color="C9CED2" w:sz="4"/>
            </w:tcBorders>
            <w:shd w:fill="EFE7DA" w:color="auto" w:val="clear"/>
            <w:tcMar>
              <w:top w:type="dxa" w:w="60"/>
              <w:left w:type="dxa" w:w="90"/>
              <w:bottom w:type="dxa" w:w="60"/>
              <w:right w:type="dxa" w:w="90"/>
            </w:tcMar>
          </w:tcPr>
          <w:p>
            <w:pPr>
              <w:spacing w:after="0" w:line="252"/>
            </w:pPr>
            <w:r>
              <w:rPr>
                <w:b/>
                <w:bCs/>
                <w:color w:val="1E2A32"/>
                <w:sz w:val="17"/>
                <w:szCs w:val="17"/>
              </w:rPr>
              <w:t xml:space="preserve">12,000</w:t>
            </w:r>
          </w:p>
        </w:tc>
        <w:tc>
          <w:tcPr>
            <w:tcW w:type="dxa" w:w="1156"/>
            <w:tcBorders>
              <w:top w:val="single" w:color="C9CED2" w:sz="4"/>
              <w:left w:val="single" w:color="C9CED2" w:sz="4"/>
              <w:bottom w:val="single" w:color="C9CED2" w:sz="4"/>
              <w:right w:val="single" w:color="C9CED2" w:sz="4"/>
            </w:tcBorders>
            <w:shd w:fill="EFE7DA" w:color="auto" w:val="clear"/>
            <w:tcMar>
              <w:top w:type="dxa" w:w="60"/>
              <w:left w:type="dxa" w:w="90"/>
              <w:bottom w:type="dxa" w:w="60"/>
              <w:right w:type="dxa" w:w="90"/>
            </w:tcMar>
          </w:tcPr>
          <w:p>
            <w:pPr>
              <w:spacing w:after="0" w:line="252"/>
            </w:pPr>
            <w:r>
              <w:rPr>
                <w:b/>
                <w:bCs/>
                <w:color w:val="1E2A32"/>
                <w:sz w:val="17"/>
                <w:szCs w:val="17"/>
              </w:rPr>
              <w:t xml:space="preserve">4.8</w:t>
            </w:r>
          </w:p>
        </w:tc>
      </w:tr>
      <w:tr>
        <w:trPr>
          <w:cantSplit/>
        </w:trPr>
        <w:tc>
          <w:tcPr>
            <w:tcW w:type="dxa" w:w="4241"/>
            <w:tcBorders>
              <w:top w:val="single" w:color="C9CED2" w:sz="4"/>
              <w:left w:val="single" w:color="C9CED2" w:sz="4"/>
              <w:bottom w:val="single" w:color="C9CED2" w:sz="4"/>
              <w:right w:val="single" w:color="C9CED2" w:sz="4"/>
            </w:tcBorders>
            <w:shd w:fill="EFE7DA" w:color="auto" w:val="clear"/>
            <w:tcMar>
              <w:top w:type="dxa" w:w="60"/>
              <w:left w:type="dxa" w:w="90"/>
              <w:bottom w:type="dxa" w:w="60"/>
              <w:right w:type="dxa" w:w="90"/>
            </w:tcMar>
          </w:tcPr>
          <w:p>
            <w:pPr>
              <w:spacing w:after="0" w:line="252"/>
            </w:pPr>
            <w:r>
              <w:rPr>
                <w:b/>
                <w:bCs/>
                <w:color w:val="1E2A32"/>
                <w:sz w:val="17"/>
                <w:szCs w:val="17"/>
              </w:rPr>
              <w:t xml:space="preserve">TOTAL</w:t>
            </w:r>
          </w:p>
        </w:tc>
        <w:tc>
          <w:tcPr>
            <w:tcW w:type="dxa" w:w="3084"/>
            <w:tcBorders>
              <w:top w:val="single" w:color="C9CED2" w:sz="4"/>
              <w:left w:val="single" w:color="C9CED2" w:sz="4"/>
              <w:bottom w:val="single" w:color="C9CED2" w:sz="4"/>
              <w:right w:val="single" w:color="C9CED2" w:sz="4"/>
            </w:tcBorders>
            <w:shd w:fill="EFE7DA" w:color="auto" w:val="clear"/>
            <w:tcMar>
              <w:top w:type="dxa" w:w="60"/>
              <w:left w:type="dxa" w:w="90"/>
              <w:bottom w:type="dxa" w:w="60"/>
              <w:right w:type="dxa" w:w="90"/>
            </w:tcMar>
          </w:tcPr>
          <w:p>
            <w:pPr>
              <w:spacing w:after="0" w:line="252"/>
            </w:pPr>
          </w:p>
        </w:tc>
        <w:tc>
          <w:tcPr>
            <w:tcW w:type="dxa" w:w="1157"/>
            <w:tcBorders>
              <w:top w:val="single" w:color="C9CED2" w:sz="4"/>
              <w:left w:val="single" w:color="C9CED2" w:sz="4"/>
              <w:bottom w:val="single" w:color="C9CED2" w:sz="4"/>
              <w:right w:val="single" w:color="C9CED2" w:sz="4"/>
            </w:tcBorders>
            <w:shd w:fill="EFE7DA" w:color="auto" w:val="clear"/>
            <w:tcMar>
              <w:top w:type="dxa" w:w="60"/>
              <w:left w:type="dxa" w:w="90"/>
              <w:bottom w:type="dxa" w:w="60"/>
              <w:right w:type="dxa" w:w="90"/>
            </w:tcMar>
          </w:tcPr>
          <w:p>
            <w:pPr>
              <w:spacing w:after="0" w:line="252"/>
            </w:pPr>
            <w:r>
              <w:rPr>
                <w:b/>
                <w:bCs/>
                <w:color w:val="1E2A32"/>
                <w:sz w:val="17"/>
                <w:szCs w:val="17"/>
              </w:rPr>
              <w:t xml:space="preserve">250,000</w:t>
            </w:r>
          </w:p>
        </w:tc>
        <w:tc>
          <w:tcPr>
            <w:tcW w:type="dxa" w:w="1156"/>
            <w:tcBorders>
              <w:top w:val="single" w:color="C9CED2" w:sz="4"/>
              <w:left w:val="single" w:color="C9CED2" w:sz="4"/>
              <w:bottom w:val="single" w:color="C9CED2" w:sz="4"/>
              <w:right w:val="single" w:color="C9CED2" w:sz="4"/>
            </w:tcBorders>
            <w:shd w:fill="EFE7DA" w:color="auto" w:val="clear"/>
            <w:tcMar>
              <w:top w:type="dxa" w:w="60"/>
              <w:left w:type="dxa" w:w="90"/>
              <w:bottom w:type="dxa" w:w="60"/>
              <w:right w:type="dxa" w:w="90"/>
            </w:tcMar>
          </w:tcPr>
          <w:p>
            <w:pPr>
              <w:spacing w:after="0" w:line="252"/>
            </w:pPr>
            <w:r>
              <w:rPr>
                <w:b/>
                <w:bCs/>
                <w:color w:val="1E2A32"/>
                <w:sz w:val="17"/>
                <w:szCs w:val="17"/>
              </w:rPr>
              <w:t xml:space="preserve">100</w:t>
            </w:r>
          </w:p>
        </w:tc>
      </w:tr>
    </w:tbl>
    <w:p>
      <w:pPr>
        <w:spacing w:after="240" w:before="60"/>
      </w:pPr>
      <w:r>
        <w:rPr>
          <w:i/>
          <w:iCs/>
          <w:color w:val="5B6770"/>
          <w:sz w:val="19"/>
          <w:szCs w:val="19"/>
        </w:rPr>
        <w:t xml:space="preserve">Note. </w:t>
      </w:r>
      <w:r>
        <w:rPr>
          <w:color w:val="5B6770"/>
          <w:sz w:val="19"/>
          <w:szCs w:val="19"/>
        </w:rPr>
        <w:t xml:space="preserve">Costs informed by Wise (2025), GoTransit (n.d.) and Admetrics (2025); to be confirmed with quotes.</w:t>
      </w:r>
    </w:p>
    <w:p>
      <w:pPr>
        <w:pStyle w:val="Heading1"/>
      </w:pPr>
      <w:r>
        <w:t xml:space="preserve">6. Campaign Evaluation</w:t>
      </w:r>
    </w:p>
    <w:p>
      <w:pPr>
        <w:spacing w:after="160" w:line="288"/>
      </w:pPr>
      <w:r>
        <w:t xml:space="preserve">Effectiveness means achieving the intended outcomes, not likes (Belch &amp; Belch, 2021). Pre-testing in December 2026 uses concept tests, A/B comparisons of edits and the baseline survey to check comprehension, brand attribution, relevance and the call to action. Because test viewers are made to watch, results are used to choose between executions rather than forecast outcomes. In-flight digital metrics guide reallocation between bursts. Creators are judged on audience fit, credibility, brand lift and tracked action, not followers (Campbell &amp; Farrell, 2020). Each measure maps to one objective (Table 6). Each survey wave samples about 400 Segment A respondents and 150 Melbourne controls; at that size only changes of roughly five points are reliable, so O4 is judged with store traffic and web data, not the survey alone. Post-testing in April 2027 repeats the survey, uses social listening, checks self-reported visits against store traffic and web analytics, and compares results with a Melbourne control sample. Observational attribution can overstate advertising effects compared with experiments (Gordon et al., 2019), so results will be reported as indicative rather than proven.</w:t>
      </w:r>
    </w:p>
    <w:p>
      <w:pPr>
        <w:keepNext/>
        <w:spacing w:after="40" w:before="200"/>
      </w:pPr>
      <w:r>
        <w:rPr>
          <w:b/>
          <w:bCs/>
        </w:rPr>
        <w:t xml:space="preserve">Table 6</w:t>
      </w:r>
    </w:p>
    <w:p>
      <w:pPr>
        <w:keepNext/>
        <w:spacing w:after="100"/>
      </w:pPr>
      <w:r>
        <w:rPr>
          <w:i/>
          <w:iCs/>
        </w:rPr>
        <w:t xml:space="preserve">Evaluation Plan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42"/>
        <w:gridCol w:w="4241"/>
        <w:gridCol w:w="2313"/>
        <w:gridCol w:w="1542"/>
      </w:tblGrid>
      <w:tr>
        <w:trPr>
          <w:tblHeader/>
        </w:trPr>
        <w:tc>
          <w:tcPr>
            <w:tcW w:type="dxa" w:w="1542"/>
            <w:tcBorders>
              <w:top w:val="single" w:color="C9CED2" w:sz="4"/>
              <w:left w:val="single" w:color="C9CED2" w:sz="4"/>
              <w:bottom w:val="single" w:color="C9CED2" w:sz="4"/>
              <w:right w:val="single" w:color="C9CED2" w:sz="4"/>
            </w:tcBorders>
            <w:shd w:fill="1E2A32" w:color="auto" w:val="clear"/>
            <w:tcMar>
              <w:top w:type="dxa" w:w="60"/>
              <w:left w:type="dxa" w:w="90"/>
              <w:bottom w:type="dxa" w:w="60"/>
              <w:right w:type="dxa" w:w="90"/>
            </w:tcMar>
          </w:tcPr>
          <w:p>
            <w:pPr>
              <w:spacing w:after="0" w:line="252"/>
            </w:pPr>
            <w:r>
              <w:rPr>
                <w:b/>
                <w:bCs/>
                <w:color w:val="FFFFFF"/>
                <w:sz w:val="17"/>
                <w:szCs w:val="17"/>
              </w:rPr>
              <w:t xml:space="preserve">Objective</w:t>
            </w:r>
          </w:p>
        </w:tc>
        <w:tc>
          <w:tcPr>
            <w:tcW w:type="dxa" w:w="4241"/>
            <w:tcBorders>
              <w:top w:val="single" w:color="C9CED2" w:sz="4"/>
              <w:left w:val="single" w:color="C9CED2" w:sz="4"/>
              <w:bottom w:val="single" w:color="C9CED2" w:sz="4"/>
              <w:right w:val="single" w:color="C9CED2" w:sz="4"/>
            </w:tcBorders>
            <w:shd w:fill="1E2A32" w:color="auto" w:val="clear"/>
            <w:tcMar>
              <w:top w:type="dxa" w:w="60"/>
              <w:left w:type="dxa" w:w="90"/>
              <w:bottom w:type="dxa" w:w="60"/>
              <w:right w:type="dxa" w:w="90"/>
            </w:tcMar>
          </w:tcPr>
          <w:p>
            <w:pPr>
              <w:spacing w:after="0" w:line="252"/>
            </w:pPr>
            <w:r>
              <w:rPr>
                <w:b/>
                <w:bCs/>
                <w:color w:val="FFFFFF"/>
                <w:sz w:val="17"/>
                <w:szCs w:val="17"/>
              </w:rPr>
              <w:t xml:space="preserve">Measures</w:t>
            </w:r>
          </w:p>
        </w:tc>
        <w:tc>
          <w:tcPr>
            <w:tcW w:type="dxa" w:w="2313"/>
            <w:tcBorders>
              <w:top w:val="single" w:color="C9CED2" w:sz="4"/>
              <w:left w:val="single" w:color="C9CED2" w:sz="4"/>
              <w:bottom w:val="single" w:color="C9CED2" w:sz="4"/>
              <w:right w:val="single" w:color="C9CED2" w:sz="4"/>
            </w:tcBorders>
            <w:shd w:fill="1E2A32" w:color="auto" w:val="clear"/>
            <w:tcMar>
              <w:top w:type="dxa" w:w="60"/>
              <w:left w:type="dxa" w:w="90"/>
              <w:bottom w:type="dxa" w:w="60"/>
              <w:right w:type="dxa" w:w="90"/>
            </w:tcMar>
          </w:tcPr>
          <w:p>
            <w:pPr>
              <w:spacing w:after="0" w:line="252"/>
            </w:pPr>
            <w:r>
              <w:rPr>
                <w:b/>
                <w:bCs/>
                <w:color w:val="FFFFFF"/>
                <w:sz w:val="17"/>
                <w:szCs w:val="17"/>
              </w:rPr>
              <w:t xml:space="preserve">Timing</w:t>
            </w:r>
          </w:p>
        </w:tc>
        <w:tc>
          <w:tcPr>
            <w:tcW w:type="dxa" w:w="1542"/>
            <w:tcBorders>
              <w:top w:val="single" w:color="C9CED2" w:sz="4"/>
              <w:left w:val="single" w:color="C9CED2" w:sz="4"/>
              <w:bottom w:val="single" w:color="C9CED2" w:sz="4"/>
              <w:right w:val="single" w:color="C9CED2" w:sz="4"/>
            </w:tcBorders>
            <w:shd w:fill="1E2A32" w:color="auto" w:val="clear"/>
            <w:tcMar>
              <w:top w:type="dxa" w:w="60"/>
              <w:left w:type="dxa" w:w="90"/>
              <w:bottom w:type="dxa" w:w="60"/>
              <w:right w:type="dxa" w:w="90"/>
            </w:tcMar>
          </w:tcPr>
          <w:p>
            <w:pPr>
              <w:spacing w:after="0" w:line="252"/>
            </w:pPr>
            <w:r>
              <w:rPr>
                <w:b/>
                <w:bCs/>
                <w:color w:val="FFFFFF"/>
                <w:sz w:val="17"/>
                <w:szCs w:val="17"/>
              </w:rPr>
              <w:t xml:space="preserve">Success</w:t>
            </w:r>
          </w:p>
        </w:tc>
      </w:tr>
      <w:tr>
        <w:trPr>
          <w:cantSplit/>
        </w:trPr>
        <w:tc>
          <w:tcPr>
            <w:tcW w:type="dxa" w:w="1542"/>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bCs/>
                <w:color w:val="1E2A32"/>
                <w:sz w:val="17"/>
                <w:szCs w:val="17"/>
              </w:rPr>
              <w:t xml:space="preserve">Pre-test</w:t>
            </w:r>
          </w:p>
        </w:tc>
        <w:tc>
          <w:tcPr>
            <w:tcW w:type="dxa" w:w="4241"/>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Brand attribution; comprehension</w:t>
            </w:r>
          </w:p>
        </w:tc>
        <w:tc>
          <w:tcPr>
            <w:tcW w:type="dxa" w:w="2313"/>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Dec 2026</w:t>
            </w:r>
          </w:p>
        </w:tc>
        <w:tc>
          <w:tcPr>
            <w:tcW w:type="dxa" w:w="1542"/>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≥60% attribute to Alo</w:t>
            </w:r>
          </w:p>
        </w:tc>
      </w:tr>
      <w:tr>
        <w:trPr>
          <w:cantSplit/>
        </w:trPr>
        <w:tc>
          <w:tcPr>
            <w:tcW w:type="dxa" w:w="1542"/>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bCs/>
                <w:color w:val="1E2A32"/>
                <w:sz w:val="17"/>
                <w:szCs w:val="17"/>
              </w:rPr>
              <w:t xml:space="preserve">Media</w:t>
            </w:r>
          </w:p>
        </w:tc>
        <w:tc>
          <w:tcPr>
            <w:tcW w:type="dxa" w:w="4241"/>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Reach and frequency; retargeting pool</w:t>
            </w:r>
          </w:p>
        </w:tc>
        <w:tc>
          <w:tcPr>
            <w:tcW w:type="dxa" w:w="2313"/>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Weekly</w:t>
            </w:r>
          </w:p>
        </w:tc>
        <w:tc>
          <w:tcPr>
            <w:tcW w:type="dxa" w:w="1542"/>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70% reach, frequency 4; 20% retargeted</w:t>
            </w:r>
          </w:p>
        </w:tc>
      </w:tr>
      <w:tr>
        <w:trPr>
          <w:cantSplit/>
        </w:trPr>
        <w:tc>
          <w:tcPr>
            <w:tcW w:type="dxa" w:w="1542"/>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bCs/>
                <w:color w:val="1E2A32"/>
                <w:sz w:val="17"/>
                <w:szCs w:val="17"/>
              </w:rPr>
              <w:t xml:space="preserve">O1, O2</w:t>
            </w:r>
          </w:p>
        </w:tc>
        <w:tc>
          <w:tcPr>
            <w:tcW w:type="dxa" w:w="4241"/>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Survey agreement; UGC and comment sentiment</w:t>
            </w:r>
          </w:p>
        </w:tc>
        <w:tc>
          <w:tcPr>
            <w:tcW w:type="dxa" w:w="2313"/>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Dec 2026, Apr 2027</w:t>
            </w:r>
          </w:p>
        </w:tc>
        <w:tc>
          <w:tcPr>
            <w:tcW w:type="dxa" w:w="1542"/>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≥21%, ≥18%</w:t>
            </w:r>
          </w:p>
        </w:tc>
      </w:tr>
      <w:tr>
        <w:trPr>
          <w:cantSplit/>
        </w:trPr>
        <w:tc>
          <w:tcPr>
            <w:tcW w:type="dxa" w:w="1542"/>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bCs/>
                <w:color w:val="1E2A32"/>
                <w:sz w:val="17"/>
                <w:szCs w:val="17"/>
              </w:rPr>
              <w:t xml:space="preserve">O3</w:t>
            </w:r>
          </w:p>
        </w:tc>
        <w:tc>
          <w:tcPr>
            <w:tcW w:type="dxa" w:w="4241"/>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Prompted awareness; weekly Google Trends</w:t>
            </w:r>
          </w:p>
        </w:tc>
        <w:tc>
          <w:tcPr>
            <w:tcW w:type="dxa" w:w="2313"/>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Surveys, weekly</w:t>
            </w:r>
          </w:p>
        </w:tc>
        <w:tc>
          <w:tcPr>
            <w:tcW w:type="dxa" w:w="1542"/>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≥35%</w:t>
            </w:r>
          </w:p>
        </w:tc>
      </w:tr>
      <w:tr>
        <w:trPr>
          <w:cantSplit/>
        </w:trPr>
        <w:tc>
          <w:tcPr>
            <w:tcW w:type="dxa" w:w="1542"/>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bCs/>
                <w:color w:val="1E2A32"/>
                <w:sz w:val="17"/>
                <w:szCs w:val="17"/>
              </w:rPr>
              <w:t xml:space="preserve">O4</w:t>
            </w:r>
          </w:p>
        </w:tc>
        <w:tc>
          <w:tcPr>
            <w:tcW w:type="dxa" w:w="4241"/>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Self-reported visits; store traffic; tracked links</w:t>
            </w:r>
          </w:p>
        </w:tc>
        <w:tc>
          <w:tcPr>
            <w:tcW w:type="dxa" w:w="2313"/>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Surveys, weekly</w:t>
            </w:r>
          </w:p>
        </w:tc>
        <w:tc>
          <w:tcPr>
            <w:tcW w:type="dxa" w:w="1542"/>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≥11%</w:t>
            </w:r>
          </w:p>
        </w:tc>
      </w:tr>
    </w:tbl>
    <w:p>
      <w:pPr>
        <w:spacing w:after="160"/>
      </w:pPr>
    </w:p>
    <w:p>
      <w:pPr>
        <w:pStyle w:val="Heading1"/>
      </w:pPr>
      <w:r>
        <w:t xml:space="preserve">7. Conclusion</w:t>
      </w:r>
    </w:p>
    <w:p>
      <w:pPr>
        <w:spacing w:after="160" w:line="288"/>
      </w:pPr>
      <w:r>
        <w:t xml:space="preserve">Every pillar, source, channel and burst answers a diagnosed challenge, with one message adapted to every channel but never changed: one set, made for the whole Sydney day. AI use is disclosed in Appendix I.</w:t>
      </w:r>
    </w:p>
    <w:p>
      <w:r>
        <w:br w:type="page"/>
      </w:r>
    </w:p>
    <w:p>
      <w:pPr>
        <w:pStyle w:val="Heading1"/>
      </w:pPr>
      <w:r>
        <w:t xml:space="preserve">References</w:t>
      </w:r>
    </w:p>
    <w:p>
      <w:pPr>
        <w:spacing w:after="120" w:line="276"/>
        <w:ind w:left="720" w:hanging="720"/>
      </w:pPr>
      <w:r>
        <w:rPr>
          <w:sz w:val="21"/>
          <w:szCs w:val="21"/>
        </w:rPr>
        <w:t xml:space="preserve">Admetrics. (2025). </w:t>
      </w:r>
      <w:r>
        <w:rPr>
          <w:i/>
          <w:iCs/>
          <w:sz w:val="21"/>
          <w:szCs w:val="21"/>
        </w:rPr>
        <w:t xml:space="preserve">Instagram ads costs: Complete 2025 pricing guide</w:t>
      </w:r>
      <w:r>
        <w:rPr>
          <w:sz w:val="21"/>
          <w:szCs w:val="21"/>
        </w:rPr>
        <w:t xml:space="preserve">. https://admetrics.io/en/post/instagram-ads-costs-complete-2025-pricing-guide</w:t>
      </w:r>
    </w:p>
    <w:p>
      <w:pPr>
        <w:spacing w:after="120" w:line="276"/>
        <w:ind w:left="720" w:hanging="720"/>
      </w:pPr>
      <w:r>
        <w:rPr>
          <w:sz w:val="21"/>
          <w:szCs w:val="21"/>
        </w:rPr>
        <w:t xml:space="preserve">Australian Association of National Advertisers. (2021). </w:t>
      </w:r>
      <w:r>
        <w:rPr>
          <w:i/>
          <w:iCs/>
          <w:sz w:val="21"/>
          <w:szCs w:val="21"/>
        </w:rPr>
        <w:t xml:space="preserve">AANA code of ethics</w:t>
      </w:r>
      <w:r>
        <w:rPr>
          <w:sz w:val="21"/>
          <w:szCs w:val="21"/>
        </w:rPr>
        <w:t xml:space="preserve">. https://aana.com.au/self-regulation/codes-guidelines/code-of-ethics/</w:t>
      </w:r>
    </w:p>
    <w:p>
      <w:pPr>
        <w:spacing w:after="120" w:line="276"/>
        <w:ind w:left="720" w:hanging="720"/>
      </w:pPr>
      <w:r>
        <w:rPr>
          <w:sz w:val="21"/>
          <w:szCs w:val="21"/>
        </w:rPr>
        <w:t xml:space="preserve">Australian Competition and Consumer Commission. (2021, July 23). </w:t>
      </w:r>
      <w:r>
        <w:rPr>
          <w:i/>
          <w:iCs/>
          <w:sz w:val="21"/>
          <w:szCs w:val="21"/>
        </w:rPr>
        <w:t xml:space="preserve">Lorna Jane pays $5 million over false 'anti-virus activewear' claims</w:t>
      </w:r>
      <w:r>
        <w:rPr>
          <w:sz w:val="21"/>
          <w:szCs w:val="21"/>
        </w:rPr>
        <w:t xml:space="preserve"> [Media release]. https://www.accc.gov.au/media-release/lorna-jane-pays-5-million-over-false-anti-virus-activewear-claims</w:t>
      </w:r>
    </w:p>
    <w:p>
      <w:pPr>
        <w:spacing w:after="120" w:line="276"/>
        <w:ind w:left="720" w:hanging="720"/>
      </w:pPr>
      <w:r>
        <w:rPr>
          <w:sz w:val="21"/>
          <w:szCs w:val="21"/>
        </w:rPr>
        <w:t xml:space="preserve">Australian Competition and Consumer Commission. (2023, December). </w:t>
      </w:r>
      <w:r>
        <w:rPr>
          <w:i/>
          <w:iCs/>
          <w:sz w:val="21"/>
          <w:szCs w:val="21"/>
        </w:rPr>
        <w:t xml:space="preserve">Scrutiny of influencers and businesses for misleading advertising and online reviews continues</w:t>
      </w:r>
      <w:r>
        <w:rPr>
          <w:sz w:val="21"/>
          <w:szCs w:val="21"/>
        </w:rPr>
        <w:t xml:space="preserve"> [Media release]. https://www.accc.gov.au/media-release/scrutiny-of-influencers-and-businesses-for-misleading-advertising-and-online-reviews-continues</w:t>
      </w:r>
    </w:p>
    <w:p>
      <w:pPr>
        <w:spacing w:after="120" w:line="276"/>
        <w:ind w:left="720" w:hanging="720"/>
      </w:pPr>
      <w:r>
        <w:rPr>
          <w:sz w:val="21"/>
          <w:szCs w:val="21"/>
        </w:rPr>
        <w:t xml:space="preserve">Batra, R., &amp; Keller, K. L. (2016). Integrating marketing communications: New findings, new lessons, and new ideas. </w:t>
      </w:r>
      <w:r>
        <w:rPr>
          <w:i/>
          <w:iCs/>
          <w:sz w:val="21"/>
          <w:szCs w:val="21"/>
        </w:rPr>
        <w:t xml:space="preserve">Journal of Marketing, 80</w:t>
      </w:r>
      <w:r>
        <w:rPr>
          <w:sz w:val="21"/>
          <w:szCs w:val="21"/>
        </w:rPr>
        <w:t xml:space="preserve">(6), 122–145. https://doi.org/10.1509/jm.15.0419</w:t>
      </w:r>
    </w:p>
    <w:p>
      <w:pPr>
        <w:spacing w:after="120" w:line="276"/>
        <w:ind w:left="720" w:hanging="720"/>
      </w:pPr>
      <w:r>
        <w:rPr>
          <w:sz w:val="21"/>
          <w:szCs w:val="21"/>
        </w:rPr>
        <w:t xml:space="preserve">Belch, G. E., &amp; Belch, M. A. (2021). </w:t>
      </w:r>
      <w:r>
        <w:rPr>
          <w:i/>
          <w:iCs/>
          <w:sz w:val="21"/>
          <w:szCs w:val="21"/>
        </w:rPr>
        <w:t xml:space="preserve">Advertising and promotion: An integrated marketing communications perspective</w:t>
      </w:r>
      <w:r>
        <w:rPr>
          <w:sz w:val="21"/>
          <w:szCs w:val="21"/>
        </w:rPr>
        <w:t xml:space="preserve"> (12th ed.). McGraw-Hill Education.</w:t>
      </w:r>
    </w:p>
    <w:p>
      <w:pPr>
        <w:spacing w:after="120" w:line="276"/>
        <w:ind w:left="720" w:hanging="720"/>
      </w:pPr>
      <w:r>
        <w:rPr>
          <w:sz w:val="21"/>
          <w:szCs w:val="21"/>
        </w:rPr>
        <w:t xml:space="preserve">Belk, R. W. (1988). Possessions and the extended self. </w:t>
      </w:r>
      <w:r>
        <w:rPr>
          <w:i/>
          <w:iCs/>
          <w:sz w:val="21"/>
          <w:szCs w:val="21"/>
        </w:rPr>
        <w:t xml:space="preserve">Journal of Consumer Research, 15</w:t>
      </w:r>
      <w:r>
        <w:rPr>
          <w:sz w:val="21"/>
          <w:szCs w:val="21"/>
        </w:rPr>
        <w:t xml:space="preserve">(2), 139–168. https://doi.org/10.1086/209154</w:t>
      </w:r>
    </w:p>
    <w:p>
      <w:pPr>
        <w:spacing w:after="120" w:line="276"/>
        <w:ind w:left="720" w:hanging="720"/>
      </w:pPr>
      <w:r>
        <w:rPr>
          <w:sz w:val="21"/>
          <w:szCs w:val="21"/>
        </w:rPr>
        <w:t xml:space="preserve">Binet, L., &amp; Field, P. (2013). </w:t>
      </w:r>
      <w:r>
        <w:rPr>
          <w:i/>
          <w:iCs/>
          <w:sz w:val="21"/>
          <w:szCs w:val="21"/>
        </w:rPr>
        <w:t xml:space="preserve">The long and the short of it: Balancing short and long-term marketing strategies</w:t>
      </w:r>
      <w:r>
        <w:rPr>
          <w:sz w:val="21"/>
          <w:szCs w:val="21"/>
        </w:rPr>
        <w:t xml:space="preserve">. Institute of Practitioners in Advertising.</w:t>
      </w:r>
    </w:p>
    <w:p>
      <w:pPr>
        <w:spacing w:after="120" w:line="276"/>
        <w:ind w:left="720" w:hanging="720"/>
      </w:pPr>
      <w:r>
        <w:rPr>
          <w:sz w:val="21"/>
          <w:szCs w:val="21"/>
        </w:rPr>
        <w:t xml:space="preserve">blogTO. (2018, October). </w:t>
      </w:r>
      <w:r>
        <w:rPr>
          <w:i/>
          <w:iCs/>
          <w:sz w:val="21"/>
          <w:szCs w:val="21"/>
        </w:rPr>
        <w:t xml:space="preserve">UK fitness brand Gymshark arrives in Toronto to massive crowds</w:t>
      </w:r>
      <w:r>
        <w:rPr>
          <w:sz w:val="21"/>
          <w:szCs w:val="21"/>
        </w:rPr>
        <w:t xml:space="preserve">. https://www.blogto.com/sports_play/2018/10/gymshark-toronto/</w:t>
      </w:r>
    </w:p>
    <w:p>
      <w:pPr>
        <w:spacing w:after="120" w:line="276"/>
        <w:ind w:left="720" w:hanging="720"/>
      </w:pPr>
      <w:r>
        <w:rPr>
          <w:sz w:val="21"/>
          <w:szCs w:val="21"/>
        </w:rPr>
        <w:t xml:space="preserve">Camacho-Miñano, M. J., MacIsaac, S., &amp; Rich, E. (2019). Postfeminist biopedagogies of Instagram: Young women learning about bodies, health and fitness. </w:t>
      </w:r>
      <w:r>
        <w:rPr>
          <w:i/>
          <w:iCs/>
          <w:sz w:val="21"/>
          <w:szCs w:val="21"/>
        </w:rPr>
        <w:t xml:space="preserve">Sport, Education and Society, 24</w:t>
      </w:r>
      <w:r>
        <w:rPr>
          <w:sz w:val="21"/>
          <w:szCs w:val="21"/>
        </w:rPr>
        <w:t xml:space="preserve">(6), 651–664. https://doi.org/10.1080/13573322.2019.1613975</w:t>
      </w:r>
    </w:p>
    <w:p>
      <w:pPr>
        <w:spacing w:after="120" w:line="276"/>
        <w:ind w:left="720" w:hanging="720"/>
      </w:pPr>
      <w:r>
        <w:rPr>
          <w:sz w:val="21"/>
          <w:szCs w:val="21"/>
        </w:rPr>
        <w:t xml:space="preserve">Cameron, G. T. (1994). Does publicity outperform advertising? An experimental test of the third-party endorsement. </w:t>
      </w:r>
      <w:r>
        <w:rPr>
          <w:i/>
          <w:iCs/>
          <w:sz w:val="21"/>
          <w:szCs w:val="21"/>
        </w:rPr>
        <w:t xml:space="preserve">Journal of Public Relations Research, 6</w:t>
      </w:r>
      <w:r>
        <w:rPr>
          <w:sz w:val="21"/>
          <w:szCs w:val="21"/>
        </w:rPr>
        <w:t xml:space="preserve">(3), 185–207. https://doi.org/10.1207/s1532754xjprr0603_02</w:t>
      </w:r>
    </w:p>
    <w:p>
      <w:pPr>
        <w:spacing w:after="120" w:line="276"/>
        <w:ind w:left="720" w:hanging="720"/>
      </w:pPr>
      <w:r>
        <w:rPr>
          <w:sz w:val="21"/>
          <w:szCs w:val="21"/>
        </w:rPr>
        <w:t xml:space="preserve">Campbell, C., &amp; Farrell, J. R. (2020). More than meets the eye: The functional components underlying influencer marketing. </w:t>
      </w:r>
      <w:r>
        <w:rPr>
          <w:i/>
          <w:iCs/>
          <w:sz w:val="21"/>
          <w:szCs w:val="21"/>
        </w:rPr>
        <w:t xml:space="preserve">Business Horizons, 63</w:t>
      </w:r>
      <w:r>
        <w:rPr>
          <w:sz w:val="21"/>
          <w:szCs w:val="21"/>
        </w:rPr>
        <w:t xml:space="preserve">(4), 469–479. https://doi.org/10.1016/j.bushor.2020.03.003</w:t>
      </w:r>
    </w:p>
    <w:p>
      <w:pPr>
        <w:spacing w:after="120" w:line="276"/>
        <w:ind w:left="720" w:hanging="720"/>
      </w:pPr>
      <w:r>
        <w:rPr>
          <w:sz w:val="21"/>
          <w:szCs w:val="21"/>
        </w:rPr>
        <w:t xml:space="preserve">Colley, R. H. (1961). </w:t>
      </w:r>
      <w:r>
        <w:rPr>
          <w:i/>
          <w:iCs/>
          <w:sz w:val="21"/>
          <w:szCs w:val="21"/>
        </w:rPr>
        <w:t xml:space="preserve">Defining advertising goals for measured advertising results</w:t>
      </w:r>
      <w:r>
        <w:rPr>
          <w:sz w:val="21"/>
          <w:szCs w:val="21"/>
        </w:rPr>
        <w:t xml:space="preserve">. Association of National Advertisers.</w:t>
      </w:r>
    </w:p>
    <w:p>
      <w:pPr>
        <w:spacing w:after="120" w:line="276"/>
        <w:ind w:left="720" w:hanging="720"/>
      </w:pPr>
      <w:r>
        <w:rPr>
          <w:sz w:val="21"/>
          <w:szCs w:val="21"/>
        </w:rPr>
        <w:t xml:space="preserve">Concrete Playground. (2026, September 15). </w:t>
      </w:r>
      <w:r>
        <w:rPr>
          <w:i/>
          <w:iCs/>
          <w:sz w:val="21"/>
          <w:szCs w:val="21"/>
        </w:rPr>
        <w:t xml:space="preserve">Now open: Cult LA activewear brand Alo has opened a store in the heart of Sydney's CBD at The Galeries</w:t>
      </w:r>
      <w:r>
        <w:rPr>
          <w:sz w:val="21"/>
          <w:szCs w:val="21"/>
        </w:rPr>
        <w:t xml:space="preserve">. https://concreteplayground.com/sydney/?p=1144787</w:t>
      </w:r>
    </w:p>
    <w:p>
      <w:pPr>
        <w:spacing w:after="120" w:line="276"/>
        <w:ind w:left="720" w:hanging="720"/>
      </w:pPr>
      <w:r>
        <w:rPr>
          <w:sz w:val="21"/>
          <w:szCs w:val="21"/>
        </w:rPr>
        <w:t xml:space="preserve">Court, D., Elzinga, D., Mulder, S., &amp; Vetvik, O. J. (2009). The consumer decision journey. </w:t>
      </w:r>
      <w:r>
        <w:rPr>
          <w:i/>
          <w:iCs/>
          <w:sz w:val="21"/>
          <w:szCs w:val="21"/>
        </w:rPr>
        <w:t xml:space="preserve">McKinsey Quarterly</w:t>
      </w:r>
      <w:r>
        <w:rPr>
          <w:sz w:val="21"/>
          <w:szCs w:val="21"/>
        </w:rPr>
        <w:t xml:space="preserve">, (3), 96–107.</w:t>
      </w:r>
    </w:p>
    <w:p>
      <w:pPr>
        <w:spacing w:after="120" w:line="276"/>
        <w:ind w:left="720" w:hanging="720"/>
      </w:pPr>
      <w:r>
        <w:rPr>
          <w:sz w:val="21"/>
          <w:szCs w:val="21"/>
        </w:rPr>
        <w:t xml:space="preserve">De Veirman, M., Cauberghe, V., &amp; Hudders, L. (2017). Marketing through Instagram influencers: The impact of number of followers and product divergence on brand attitude. </w:t>
      </w:r>
      <w:r>
        <w:rPr>
          <w:i/>
          <w:iCs/>
          <w:sz w:val="21"/>
          <w:szCs w:val="21"/>
        </w:rPr>
        <w:t xml:space="preserve">International Journal of Advertising, 36</w:t>
      </w:r>
      <w:r>
        <w:rPr>
          <w:sz w:val="21"/>
          <w:szCs w:val="21"/>
        </w:rPr>
        <w:t xml:space="preserve">(5), 798–828. https://doi.org/10.1080/02650487.2017.1348035</w:t>
      </w:r>
    </w:p>
    <w:p>
      <w:pPr>
        <w:spacing w:after="120" w:line="276"/>
        <w:ind w:left="720" w:hanging="720"/>
      </w:pPr>
      <w:r>
        <w:rPr>
          <w:sz w:val="21"/>
          <w:szCs w:val="21"/>
        </w:rPr>
        <w:t xml:space="preserve">Deloitte. (2026). </w:t>
      </w:r>
      <w:r>
        <w:rPr>
          <w:i/>
          <w:iCs/>
          <w:sz w:val="21"/>
          <w:szCs w:val="21"/>
        </w:rPr>
        <w:t xml:space="preserve">2026 Gen Z and millennial survey</w:t>
      </w:r>
      <w:r>
        <w:rPr>
          <w:sz w:val="21"/>
          <w:szCs w:val="21"/>
        </w:rPr>
        <w:t xml:space="preserve">. https://www.deloitte.com/global/en/issues/work/genz-millennial-survey.html</w:t>
      </w:r>
    </w:p>
    <w:p>
      <w:pPr>
        <w:spacing w:after="120" w:line="276"/>
        <w:ind w:left="720" w:hanging="720"/>
      </w:pPr>
      <w:r>
        <w:rPr>
          <w:sz w:val="21"/>
          <w:szCs w:val="21"/>
        </w:rPr>
        <w:t xml:space="preserve">Escalas, J. E., &amp; Bettman, J. R. (2005). Self-construal, reference groups, and brand meaning. </w:t>
      </w:r>
      <w:r>
        <w:rPr>
          <w:i/>
          <w:iCs/>
          <w:sz w:val="21"/>
          <w:szCs w:val="21"/>
        </w:rPr>
        <w:t xml:space="preserve">Journal of Consumer Research, 32</w:t>
      </w:r>
      <w:r>
        <w:rPr>
          <w:sz w:val="21"/>
          <w:szCs w:val="21"/>
        </w:rPr>
        <w:t xml:space="preserve">(3), 378–389. https://doi.org/10.1086/497549</w:t>
      </w:r>
    </w:p>
    <w:p>
      <w:pPr>
        <w:spacing w:after="120" w:line="276"/>
        <w:ind w:left="720" w:hanging="720"/>
      </w:pPr>
      <w:r>
        <w:rPr>
          <w:sz w:val="21"/>
          <w:szCs w:val="21"/>
        </w:rPr>
        <w:t xml:space="preserve">Francis, T., &amp; Hoefel, F. (2018, November 12). </w:t>
      </w:r>
      <w:r>
        <w:rPr>
          <w:i/>
          <w:iCs/>
          <w:sz w:val="21"/>
          <w:szCs w:val="21"/>
        </w:rPr>
        <w:t xml:space="preserve">'True Gen': Generation Z and its implications for companies</w:t>
      </w:r>
      <w:r>
        <w:rPr>
          <w:sz w:val="21"/>
          <w:szCs w:val="21"/>
        </w:rPr>
        <w:t xml:space="preserve">. McKinsey &amp; Company. https://www.mckinsey.com/industries/consumer-packaged-goods/our-insights/true-gen-generation-z-and-its-implications-for-companies</w:t>
      </w:r>
    </w:p>
    <w:p>
      <w:pPr>
        <w:spacing w:after="120" w:line="276"/>
        <w:ind w:left="720" w:hanging="720"/>
      </w:pPr>
      <w:r>
        <w:rPr>
          <w:sz w:val="21"/>
          <w:szCs w:val="21"/>
        </w:rPr>
        <w:t xml:space="preserve">Google Trends. (2026). </w:t>
      </w:r>
      <w:r>
        <w:rPr>
          <w:i/>
          <w:iCs/>
          <w:sz w:val="21"/>
          <w:szCs w:val="21"/>
        </w:rPr>
        <w:t xml:space="preserve">Lorna Jane, Lululemon and Alo Yoga (topics): Interest over time, New South Wales, 2026</w:t>
      </w:r>
      <w:r>
        <w:rPr>
          <w:sz w:val="21"/>
          <w:szCs w:val="21"/>
        </w:rPr>
        <w:t xml:space="preserve"> [Data set]. Google. Retrieved October 28, 2026, from https://trends.google.com/trends/</w:t>
      </w:r>
    </w:p>
    <w:p>
      <w:pPr>
        <w:spacing w:after="120" w:line="276"/>
        <w:ind w:left="720" w:hanging="720"/>
      </w:pPr>
      <w:r>
        <w:rPr>
          <w:sz w:val="21"/>
          <w:szCs w:val="21"/>
        </w:rPr>
        <w:t xml:space="preserve">Gordon, B. R., Zettelmeyer, F., Bhargava, N., &amp; Chapsky, D. (2019). A comparison of approaches to advertising measurement: Evidence from big field experiments at Facebook. </w:t>
      </w:r>
      <w:r>
        <w:rPr>
          <w:i/>
          <w:iCs/>
          <w:sz w:val="21"/>
          <w:szCs w:val="21"/>
        </w:rPr>
        <w:t xml:space="preserve">Marketing Science, 38</w:t>
      </w:r>
      <w:r>
        <w:rPr>
          <w:sz w:val="21"/>
          <w:szCs w:val="21"/>
        </w:rPr>
        <w:t xml:space="preserve">(2), 193–225. https://doi.org/10.1287/mksc.2018.1135</w:t>
      </w:r>
    </w:p>
    <w:p>
      <w:pPr>
        <w:spacing w:after="120" w:line="276"/>
        <w:ind w:left="720" w:hanging="720"/>
      </w:pPr>
      <w:r>
        <w:rPr>
          <w:sz w:val="21"/>
          <w:szCs w:val="21"/>
        </w:rPr>
        <w:t xml:space="preserve">GoTransit. (n.d.). </w:t>
      </w:r>
      <w:r>
        <w:rPr>
          <w:i/>
          <w:iCs/>
          <w:sz w:val="21"/>
          <w:szCs w:val="21"/>
        </w:rPr>
        <w:t xml:space="preserve">Bus advertising</w:t>
      </w:r>
      <w:r>
        <w:rPr>
          <w:sz w:val="21"/>
          <w:szCs w:val="21"/>
        </w:rPr>
        <w:t xml:space="preserve">. Retrieved October 28, 2026, from https://gotransit.com.au/</w:t>
      </w:r>
    </w:p>
    <w:p>
      <w:pPr>
        <w:spacing w:after="120" w:line="276"/>
        <w:ind w:left="720" w:hanging="720"/>
      </w:pPr>
      <w:r>
        <w:rPr>
          <w:sz w:val="21"/>
          <w:szCs w:val="21"/>
        </w:rPr>
        <w:t xml:space="preserve">Inside Retail. (2025, January). </w:t>
      </w:r>
      <w:r>
        <w:rPr>
          <w:i/>
          <w:iCs/>
          <w:sz w:val="21"/>
          <w:szCs w:val="21"/>
        </w:rPr>
        <w:t xml:space="preserve">Lorna Jane's profit doubles thanks to strong demand for athletic clothing</w:t>
      </w:r>
      <w:r>
        <w:rPr>
          <w:sz w:val="21"/>
          <w:szCs w:val="21"/>
        </w:rPr>
        <w:t xml:space="preserve">. https://insideretail.com.au/business/lorna-janes-profit-doubles-thanks-to-strong-demand-for-athletic-clothing-202501</w:t>
      </w:r>
    </w:p>
    <w:p>
      <w:pPr>
        <w:spacing w:after="120" w:line="276"/>
        <w:ind w:left="720" w:hanging="720"/>
      </w:pPr>
      <w:r>
        <w:rPr>
          <w:sz w:val="21"/>
          <w:szCs w:val="21"/>
        </w:rPr>
        <w:t xml:space="preserve">Inside Retail. (2026, May). </w:t>
      </w:r>
      <w:r>
        <w:rPr>
          <w:i/>
          <w:iCs/>
          <w:sz w:val="21"/>
          <w:szCs w:val="21"/>
        </w:rPr>
        <w:t xml:space="preserve">Alo makes Australian debut at Sydney's Chatswood Chase</w:t>
      </w:r>
      <w:r>
        <w:rPr>
          <w:sz w:val="21"/>
          <w:szCs w:val="21"/>
        </w:rPr>
        <w:t xml:space="preserve">. https://insideretail.com.au/stores/openings-closings/alo-makes-australian-debut-at-sydneys-chatswood-chase-202605</w:t>
      </w:r>
    </w:p>
    <w:p>
      <w:pPr>
        <w:spacing w:after="120" w:line="276"/>
        <w:ind w:left="720" w:hanging="720"/>
      </w:pPr>
      <w:r>
        <w:rPr>
          <w:sz w:val="21"/>
          <w:szCs w:val="21"/>
        </w:rPr>
        <w:t xml:space="preserve">Kamins, M. A. (1990). An investigation into the "match-up" hypothesis in celebrity advertising: When beauty may be only skin deep. </w:t>
      </w:r>
      <w:r>
        <w:rPr>
          <w:i/>
          <w:iCs/>
          <w:sz w:val="21"/>
          <w:szCs w:val="21"/>
        </w:rPr>
        <w:t xml:space="preserve">Journal of Advertising, 19</w:t>
      </w:r>
      <w:r>
        <w:rPr>
          <w:sz w:val="21"/>
          <w:szCs w:val="21"/>
        </w:rPr>
        <w:t xml:space="preserve">(1), 4–13. https://doi.org/10.1080/00913367.1990.10673175</w:t>
      </w:r>
    </w:p>
    <w:p>
      <w:pPr>
        <w:spacing w:after="120" w:line="276"/>
        <w:ind w:left="720" w:hanging="720"/>
      </w:pPr>
      <w:r>
        <w:rPr>
          <w:sz w:val="21"/>
          <w:szCs w:val="21"/>
        </w:rPr>
        <w:t xml:space="preserve">Kapferer, J.-N., &amp; Bastien, V. (2009). </w:t>
      </w:r>
      <w:r>
        <w:rPr>
          <w:i/>
          <w:iCs/>
          <w:sz w:val="21"/>
          <w:szCs w:val="21"/>
        </w:rPr>
        <w:t xml:space="preserve">The luxury strategy: Break the rules of marketing to build luxury brands</w:t>
      </w:r>
      <w:r>
        <w:rPr>
          <w:sz w:val="21"/>
          <w:szCs w:val="21"/>
        </w:rPr>
        <w:t xml:space="preserve">. Kogan Page.</w:t>
      </w:r>
    </w:p>
    <w:p>
      <w:pPr>
        <w:spacing w:after="120" w:line="276"/>
        <w:ind w:left="720" w:hanging="720"/>
      </w:pPr>
      <w:r>
        <w:rPr>
          <w:sz w:val="21"/>
          <w:szCs w:val="21"/>
        </w:rPr>
        <w:t xml:space="preserve">Keller, K. L. (1993). Conceptualizing, measuring, and managing customer-based brand equity. </w:t>
      </w:r>
      <w:r>
        <w:rPr>
          <w:i/>
          <w:iCs/>
          <w:sz w:val="21"/>
          <w:szCs w:val="21"/>
        </w:rPr>
        <w:t xml:space="preserve">Journal of Marketing, 57</w:t>
      </w:r>
      <w:r>
        <w:rPr>
          <w:sz w:val="21"/>
          <w:szCs w:val="21"/>
        </w:rPr>
        <w:t xml:space="preserve">(1), 1–22. https://doi.org/10.1177/002224299305700101</w:t>
      </w:r>
    </w:p>
    <w:p>
      <w:pPr>
        <w:spacing w:after="120" w:line="276"/>
        <w:ind w:left="720" w:hanging="720"/>
      </w:pPr>
      <w:r>
        <w:rPr>
          <w:sz w:val="21"/>
          <w:szCs w:val="21"/>
        </w:rPr>
        <w:t xml:space="preserve">Keller, K. L. (2001). Mastering the marketing communications mix: Micro and macro perspectives on integrated marketing communication programs. </w:t>
      </w:r>
      <w:r>
        <w:rPr>
          <w:i/>
          <w:iCs/>
          <w:sz w:val="21"/>
          <w:szCs w:val="21"/>
        </w:rPr>
        <w:t xml:space="preserve">Journal of Marketing Management, 17</w:t>
      </w:r>
      <w:r>
        <w:rPr>
          <w:sz w:val="21"/>
          <w:szCs w:val="21"/>
        </w:rPr>
        <w:t xml:space="preserve">(7–8), 819–847. https://doi.org/10.1362/026725701323366836</w:t>
      </w:r>
    </w:p>
    <w:p>
      <w:pPr>
        <w:spacing w:after="120" w:line="276"/>
        <w:ind w:left="720" w:hanging="720"/>
      </w:pPr>
      <w:r>
        <w:rPr>
          <w:sz w:val="21"/>
          <w:szCs w:val="21"/>
        </w:rPr>
        <w:t xml:space="preserve">Lambrecht, A., &amp; Tucker, C. (2013). When does retargeting work? Information specificity in online advertising. </w:t>
      </w:r>
      <w:r>
        <w:rPr>
          <w:i/>
          <w:iCs/>
          <w:sz w:val="21"/>
          <w:szCs w:val="21"/>
        </w:rPr>
        <w:t xml:space="preserve">Journal of Marketing Research, 50</w:t>
      </w:r>
      <w:r>
        <w:rPr>
          <w:sz w:val="21"/>
          <w:szCs w:val="21"/>
        </w:rPr>
        <w:t xml:space="preserve">(5), 561–576. https://doi.org/10.1509/jmr.11.0503</w:t>
      </w:r>
    </w:p>
    <w:p>
      <w:pPr>
        <w:spacing w:after="120" w:line="276"/>
        <w:ind w:left="720" w:hanging="720"/>
      </w:pPr>
      <w:r>
        <w:rPr>
          <w:sz w:val="21"/>
          <w:szCs w:val="21"/>
        </w:rPr>
        <w:t xml:space="preserve">Lavidge, R. J., &amp; Steiner, G. A. (1961). A model for predictive measurements of advertising effectiveness. </w:t>
      </w:r>
      <w:r>
        <w:rPr>
          <w:i/>
          <w:iCs/>
          <w:sz w:val="21"/>
          <w:szCs w:val="21"/>
        </w:rPr>
        <w:t xml:space="preserve">Journal of Marketing, 25</w:t>
      </w:r>
      <w:r>
        <w:rPr>
          <w:sz w:val="21"/>
          <w:szCs w:val="21"/>
        </w:rPr>
        <w:t xml:space="preserve">(6), 59–62. https://doi.org/10.1177/002224296102500611</w:t>
      </w:r>
    </w:p>
    <w:p>
      <w:pPr>
        <w:spacing w:after="120" w:line="276"/>
        <w:ind w:left="720" w:hanging="720"/>
      </w:pPr>
      <w:r>
        <w:rPr>
          <w:sz w:val="21"/>
          <w:szCs w:val="21"/>
        </w:rPr>
        <w:t xml:space="preserve">Levitt, T. (1983). The globalization of markets. </w:t>
      </w:r>
      <w:r>
        <w:rPr>
          <w:i/>
          <w:iCs/>
          <w:sz w:val="21"/>
          <w:szCs w:val="21"/>
        </w:rPr>
        <w:t xml:space="preserve">Harvard Business Review, 61</w:t>
      </w:r>
      <w:r>
        <w:rPr>
          <w:sz w:val="21"/>
          <w:szCs w:val="21"/>
        </w:rPr>
        <w:t xml:space="preserve">(3), 92–102.</w:t>
      </w:r>
    </w:p>
    <w:p>
      <w:pPr>
        <w:spacing w:after="120" w:line="276"/>
        <w:ind w:left="720" w:hanging="720"/>
      </w:pPr>
      <w:r>
        <w:rPr>
          <w:sz w:val="21"/>
          <w:szCs w:val="21"/>
        </w:rPr>
        <w:t xml:space="preserve">Lou, C., &amp; Yuan, S. (2019). Influencer marketing: How message value and credibility affect consumer trust of branded content on social media. </w:t>
      </w:r>
      <w:r>
        <w:rPr>
          <w:i/>
          <w:iCs/>
          <w:sz w:val="21"/>
          <w:szCs w:val="21"/>
        </w:rPr>
        <w:t xml:space="preserve">Journal of Interactive Advertising, 19</w:t>
      </w:r>
      <w:r>
        <w:rPr>
          <w:sz w:val="21"/>
          <w:szCs w:val="21"/>
        </w:rPr>
        <w:t xml:space="preserve">(1), 58–73. https://doi.org/10.1080/15252019.2018.1533501</w:t>
      </w:r>
    </w:p>
    <w:p>
      <w:pPr>
        <w:spacing w:after="120" w:line="276"/>
        <w:ind w:left="720" w:hanging="720"/>
      </w:pPr>
      <w:r>
        <w:rPr>
          <w:sz w:val="21"/>
          <w:szCs w:val="21"/>
        </w:rPr>
        <w:t xml:space="preserve">lululemon athletica. (n.d.). </w:t>
      </w:r>
      <w:r>
        <w:rPr>
          <w:i/>
          <w:iCs/>
          <w:sz w:val="21"/>
          <w:szCs w:val="21"/>
        </w:rPr>
        <w:t xml:space="preserve">Community engagement</w:t>
      </w:r>
      <w:r>
        <w:rPr>
          <w:sz w:val="21"/>
          <w:szCs w:val="21"/>
        </w:rPr>
        <w:t xml:space="preserve">. Retrieved October 28, 2026, from https://corporate.lululemon.com/our-business/innovation/community-engagement</w:t>
      </w:r>
    </w:p>
    <w:p>
      <w:pPr>
        <w:spacing w:after="120" w:line="276"/>
        <w:ind w:left="720" w:hanging="720"/>
      </w:pPr>
      <w:r>
        <w:rPr>
          <w:sz w:val="21"/>
          <w:szCs w:val="21"/>
        </w:rPr>
        <w:t xml:space="preserve">lululemon athletica. (2018). </w:t>
      </w:r>
      <w:r>
        <w:rPr>
          <w:i/>
          <w:iCs/>
          <w:sz w:val="21"/>
          <w:szCs w:val="21"/>
        </w:rPr>
        <w:t xml:space="preserve">lululemon Sweatlife festival returns to London June 23–24, 2018</w:t>
      </w:r>
      <w:r>
        <w:rPr>
          <w:sz w:val="21"/>
          <w:szCs w:val="21"/>
        </w:rPr>
        <w:t xml:space="preserve">. https://corporate.lululemon.com/media/our-stories/2018/lululemon-sweatlife-festival-returns-to-london-june-23-24-2018</w:t>
      </w:r>
    </w:p>
    <w:p>
      <w:pPr>
        <w:spacing w:after="120" w:line="276"/>
        <w:ind w:left="720" w:hanging="720"/>
      </w:pPr>
      <w:r>
        <w:rPr>
          <w:sz w:val="21"/>
          <w:szCs w:val="21"/>
        </w:rPr>
        <w:t xml:space="preserve">Mela, C. F., Gupta, S., &amp; Lehmann, D. R. (1997). The long-term impact of promotion and advertising on consumer brand choice. </w:t>
      </w:r>
      <w:r>
        <w:rPr>
          <w:i/>
          <w:iCs/>
          <w:sz w:val="21"/>
          <w:szCs w:val="21"/>
        </w:rPr>
        <w:t xml:space="preserve">Journal of Marketing Research, 34</w:t>
      </w:r>
      <w:r>
        <w:rPr>
          <w:sz w:val="21"/>
          <w:szCs w:val="21"/>
        </w:rPr>
        <w:t xml:space="preserve">(2), 248–261. https://doi.org/10.1177/002224379703400205</w:t>
      </w:r>
    </w:p>
    <w:p>
      <w:pPr>
        <w:spacing w:after="120" w:line="276"/>
        <w:ind w:left="720" w:hanging="720"/>
      </w:pPr>
      <w:r>
        <w:rPr>
          <w:sz w:val="21"/>
          <w:szCs w:val="21"/>
        </w:rPr>
        <w:t xml:space="preserve">Meta. (2020, May). </w:t>
      </w:r>
      <w:r>
        <w:rPr>
          <w:i/>
          <w:iCs/>
          <w:sz w:val="21"/>
          <w:szCs w:val="21"/>
        </w:rPr>
        <w:t xml:space="preserve">Wirkungsstudie: Effizienz von Anzeigen im Stories-Format</w:t>
      </w:r>
      <w:r>
        <w:rPr>
          <w:sz w:val="21"/>
          <w:szCs w:val="21"/>
        </w:rPr>
        <w:t xml:space="preserve"> [Effectiveness study: The efficiency of ads in the Stories format]. https://about.fb.com/de/news/2020/05/wirkungsstudie-effizienz-von-anzeigen-im-stories-format/</w:t>
      </w:r>
    </w:p>
    <w:p>
      <w:pPr>
        <w:spacing w:after="120" w:line="276"/>
        <w:ind w:left="720" w:hanging="720"/>
      </w:pPr>
      <w:r>
        <w:rPr>
          <w:sz w:val="21"/>
          <w:szCs w:val="21"/>
        </w:rPr>
        <w:t xml:space="preserve">Modaes. (2026). </w:t>
      </w:r>
      <w:r>
        <w:rPr>
          <w:i/>
          <w:iCs/>
          <w:sz w:val="21"/>
          <w:szCs w:val="21"/>
        </w:rPr>
        <w:t xml:space="preserve">The owner of Alo Yoga is considering an IPO after selling Bellacanvas</w:t>
      </w:r>
      <w:r>
        <w:rPr>
          <w:sz w:val="21"/>
          <w:szCs w:val="21"/>
        </w:rPr>
        <w:t xml:space="preserve">. https://www.modaes.com/global/companies/the-owner-of-alo-yoga-is-considering-an-ipo-after-selling-bellacanvas</w:t>
      </w:r>
    </w:p>
    <w:p>
      <w:pPr>
        <w:spacing w:after="120" w:line="276"/>
        <w:ind w:left="720" w:hanging="720"/>
      </w:pPr>
      <w:r>
        <w:rPr>
          <w:sz w:val="21"/>
          <w:szCs w:val="21"/>
        </w:rPr>
        <w:t xml:space="preserve">Ohanian, R. (1990). Construction and validation of a scale to measure celebrity endorsers' perceived expertise, trustworthiness, and attractiveness. </w:t>
      </w:r>
      <w:r>
        <w:rPr>
          <w:i/>
          <w:iCs/>
          <w:sz w:val="21"/>
          <w:szCs w:val="21"/>
        </w:rPr>
        <w:t xml:space="preserve">Journal of Advertising, 19</w:t>
      </w:r>
      <w:r>
        <w:rPr>
          <w:sz w:val="21"/>
          <w:szCs w:val="21"/>
        </w:rPr>
        <w:t xml:space="preserve">(3), 39–52. https://doi.org/10.1080/00913367.1990.10673191</w:t>
      </w:r>
    </w:p>
    <w:p>
      <w:pPr>
        <w:spacing w:after="120" w:line="276"/>
        <w:ind w:left="720" w:hanging="720"/>
      </w:pPr>
      <w:r>
        <w:rPr>
          <w:sz w:val="21"/>
          <w:szCs w:val="21"/>
        </w:rPr>
        <w:t xml:space="preserve">Payscale. (2026). </w:t>
      </w:r>
      <w:r>
        <w:rPr>
          <w:i/>
          <w:iCs/>
          <w:sz w:val="21"/>
          <w:szCs w:val="21"/>
        </w:rPr>
        <w:t xml:space="preserve">Average Pilates instructor hourly pay in Sydney, New South Wales</w:t>
      </w:r>
      <w:r>
        <w:rPr>
          <w:sz w:val="21"/>
          <w:szCs w:val="21"/>
        </w:rPr>
        <w:t xml:space="preserve">. https://www.payscale.com/research/AU/Job=Pilates_Instructor/Hourly_Rate/29aefa9d/Sydney</w:t>
      </w:r>
    </w:p>
    <w:p>
      <w:pPr>
        <w:spacing w:after="120" w:line="276"/>
        <w:ind w:left="720" w:hanging="720"/>
      </w:pPr>
      <w:r>
        <w:rPr>
          <w:sz w:val="21"/>
          <w:szCs w:val="21"/>
        </w:rPr>
        <w:t xml:space="preserve">Petty, R. E., &amp; Cacioppo, J. T. (1986). The elaboration likelihood model of persuasion. </w:t>
      </w:r>
      <w:r>
        <w:rPr>
          <w:i/>
          <w:iCs/>
          <w:sz w:val="21"/>
          <w:szCs w:val="21"/>
        </w:rPr>
        <w:t xml:space="preserve">Advances in Experimental Social Psychology, 19</w:t>
      </w:r>
      <w:r>
        <w:rPr>
          <w:sz w:val="21"/>
          <w:szCs w:val="21"/>
        </w:rPr>
        <w:t xml:space="preserve">, 123–205. https://doi.org/10.1016/S0065-2601(08)60214-2</w:t>
      </w:r>
    </w:p>
    <w:p>
      <w:pPr>
        <w:spacing w:after="120" w:line="276"/>
        <w:ind w:left="720" w:hanging="720"/>
      </w:pPr>
      <w:r>
        <w:rPr>
          <w:sz w:val="21"/>
          <w:szCs w:val="21"/>
        </w:rPr>
        <w:t xml:space="preserve">Petty, R. E., Cacioppo, J. T., &amp; Schumann, D. (1983). Central and peripheral routes to advertising effectiveness: The moderating role of involvement. </w:t>
      </w:r>
      <w:r>
        <w:rPr>
          <w:i/>
          <w:iCs/>
          <w:sz w:val="21"/>
          <w:szCs w:val="21"/>
        </w:rPr>
        <w:t xml:space="preserve">Journal of Consumer Research, 10</w:t>
      </w:r>
      <w:r>
        <w:rPr>
          <w:sz w:val="21"/>
          <w:szCs w:val="21"/>
        </w:rPr>
        <w:t xml:space="preserve">(2), 135–146. https://doi.org/10.1086/208954</w:t>
      </w:r>
    </w:p>
    <w:p>
      <w:pPr>
        <w:spacing w:after="120" w:line="276"/>
        <w:ind w:left="720" w:hanging="720"/>
      </w:pPr>
      <w:r>
        <w:rPr>
          <w:sz w:val="21"/>
          <w:szCs w:val="21"/>
        </w:rPr>
        <w:t xml:space="preserve">Pine, B. J., II, &amp; Gilmore, J. H. (1998). Welcome to the experience economy. </w:t>
      </w:r>
      <w:r>
        <w:rPr>
          <w:i/>
          <w:iCs/>
          <w:sz w:val="21"/>
          <w:szCs w:val="21"/>
        </w:rPr>
        <w:t xml:space="preserve">Harvard Business Review, 76</w:t>
      </w:r>
      <w:r>
        <w:rPr>
          <w:sz w:val="21"/>
          <w:szCs w:val="21"/>
        </w:rPr>
        <w:t xml:space="preserve">(4), 97–105.</w:t>
      </w:r>
    </w:p>
    <w:p>
      <w:pPr>
        <w:spacing w:after="120" w:line="276"/>
        <w:ind w:left="720" w:hanging="720"/>
      </w:pPr>
      <w:r>
        <w:rPr>
          <w:sz w:val="21"/>
          <w:szCs w:val="21"/>
        </w:rPr>
        <w:t xml:space="preserve">RepTrak. (2026, April). </w:t>
      </w:r>
      <w:r>
        <w:rPr>
          <w:i/>
          <w:iCs/>
          <w:sz w:val="21"/>
          <w:szCs w:val="21"/>
        </w:rPr>
        <w:t xml:space="preserve">Inside the GRT100: A case study on adidas and Nike</w:t>
      </w:r>
      <w:r>
        <w:rPr>
          <w:sz w:val="21"/>
          <w:szCs w:val="21"/>
        </w:rPr>
        <w:t xml:space="preserve">. https://www.reptrak.com/blog/inside-the-grt100-a-case-study-on-adidas-and-nike/</w:t>
      </w:r>
    </w:p>
    <w:p>
      <w:pPr>
        <w:spacing w:after="120" w:line="276"/>
        <w:ind w:left="720" w:hanging="720"/>
      </w:pPr>
      <w:r>
        <w:rPr>
          <w:sz w:val="21"/>
          <w:szCs w:val="21"/>
        </w:rPr>
        <w:t xml:space="preserve">RetailBoss. (2026, May). </w:t>
      </w:r>
      <w:r>
        <w:rPr>
          <w:i/>
          <w:iCs/>
          <w:sz w:val="21"/>
          <w:szCs w:val="21"/>
        </w:rPr>
        <w:t xml:space="preserve">ALO finally lands in Australia as Chatswood Chase welcomes the country's first elevated wellness sanctuary</w:t>
      </w:r>
      <w:r>
        <w:rPr>
          <w:sz w:val="21"/>
          <w:szCs w:val="21"/>
        </w:rPr>
        <w:t xml:space="preserve">. https://retailboss.co/alo-finally-lands-in-australia-as-chatswood-chase-welcomes-the-countrys-first-elevated-wellness-sanctuary/</w:t>
      </w:r>
    </w:p>
    <w:p>
      <w:pPr>
        <w:spacing w:after="120" w:line="276"/>
        <w:ind w:left="720" w:hanging="720"/>
      </w:pPr>
      <w:r>
        <w:rPr>
          <w:sz w:val="21"/>
          <w:szCs w:val="21"/>
        </w:rPr>
        <w:t xml:space="preserve">RIISE. (2026). </w:t>
      </w:r>
      <w:r>
        <w:rPr>
          <w:i/>
          <w:iCs/>
          <w:sz w:val="21"/>
          <w:szCs w:val="21"/>
        </w:rPr>
        <w:t xml:space="preserve">In motion with Bernadette Sukkar</w:t>
      </w:r>
      <w:r>
        <w:rPr>
          <w:sz w:val="21"/>
          <w:szCs w:val="21"/>
        </w:rPr>
        <w:t xml:space="preserve">. https://riise.world/blogs/wellness/in-motion-with-bernadette-sukkar</w:t>
      </w:r>
    </w:p>
    <w:p>
      <w:pPr>
        <w:spacing w:after="120" w:line="276"/>
        <w:ind w:left="720" w:hanging="720"/>
      </w:pPr>
      <w:r>
        <w:rPr>
          <w:sz w:val="21"/>
          <w:szCs w:val="21"/>
        </w:rPr>
        <w:t xml:space="preserve">Salpini, C. (2025, September 22). Lululemon's 'downward spiral' — and how the brand plans to break out of it. </w:t>
      </w:r>
      <w:r>
        <w:rPr>
          <w:i/>
          <w:iCs/>
          <w:sz w:val="21"/>
          <w:szCs w:val="21"/>
        </w:rPr>
        <w:t xml:space="preserve">Retail Dive</w:t>
      </w:r>
      <w:r>
        <w:rPr>
          <w:sz w:val="21"/>
          <w:szCs w:val="21"/>
        </w:rPr>
        <w:t xml:space="preserve">. https://www.retaildive.com/news/lululemon-athleisure-downward-spiral-innovation-turnaround/760318/</w:t>
      </w:r>
    </w:p>
    <w:p>
      <w:pPr>
        <w:spacing w:after="120" w:line="276"/>
        <w:ind w:left="720" w:hanging="720"/>
      </w:pPr>
      <w:r>
        <w:rPr>
          <w:sz w:val="21"/>
          <w:szCs w:val="21"/>
        </w:rPr>
        <w:t xml:space="preserve">SGB Media. (2026). </w:t>
      </w:r>
      <w:r>
        <w:rPr>
          <w:i/>
          <w:iCs/>
          <w:sz w:val="21"/>
          <w:szCs w:val="21"/>
        </w:rPr>
        <w:t xml:space="preserve">Alo Yoga opens first store in Greater China</w:t>
      </w:r>
      <w:r>
        <w:rPr>
          <w:sz w:val="21"/>
          <w:szCs w:val="21"/>
        </w:rPr>
        <w:t xml:space="preserve">. https://sgbonline.com/alo-yoga-opens-first-store-in-greater-china/</w:t>
      </w:r>
    </w:p>
    <w:p>
      <w:pPr>
        <w:spacing w:after="120" w:line="276"/>
        <w:ind w:left="720" w:hanging="720"/>
      </w:pPr>
      <w:r>
        <w:rPr>
          <w:sz w:val="21"/>
          <w:szCs w:val="21"/>
        </w:rPr>
        <w:t xml:space="preserve">Sharp, B. (2010). </w:t>
      </w:r>
      <w:r>
        <w:rPr>
          <w:i/>
          <w:iCs/>
          <w:sz w:val="21"/>
          <w:szCs w:val="21"/>
        </w:rPr>
        <w:t xml:space="preserve">How brands grow: What marketers don't know</w:t>
      </w:r>
      <w:r>
        <w:rPr>
          <w:sz w:val="21"/>
          <w:szCs w:val="21"/>
        </w:rPr>
        <w:t xml:space="preserve">. Oxford University Press.</w:t>
      </w:r>
    </w:p>
    <w:p>
      <w:pPr>
        <w:spacing w:after="120" w:line="276"/>
        <w:ind w:left="720" w:hanging="720"/>
      </w:pPr>
      <w:r>
        <w:rPr>
          <w:sz w:val="21"/>
          <w:szCs w:val="21"/>
        </w:rPr>
        <w:t xml:space="preserve">Sichtmann, C., Davvetas, V., &amp; Diamantopoulos, A. (2019). The relational value of perceived brand globalness and localness. </w:t>
      </w:r>
      <w:r>
        <w:rPr>
          <w:i/>
          <w:iCs/>
          <w:sz w:val="21"/>
          <w:szCs w:val="21"/>
        </w:rPr>
        <w:t xml:space="preserve">Journal of Business Research, 104</w:t>
      </w:r>
      <w:r>
        <w:rPr>
          <w:sz w:val="21"/>
          <w:szCs w:val="21"/>
        </w:rPr>
        <w:t xml:space="preserve">, 597–613. https://doi.org/10.1016/j.jbusres.2018.10.025</w:t>
      </w:r>
    </w:p>
    <w:p>
      <w:pPr>
        <w:spacing w:after="120" w:line="276"/>
        <w:ind w:left="720" w:hanging="720"/>
      </w:pPr>
      <w:r>
        <w:rPr>
          <w:sz w:val="21"/>
          <w:szCs w:val="21"/>
        </w:rPr>
        <w:t xml:space="preserve">Smith, R. E., MacKenzie, S. B., Yang, X., Buchholz, L. M., &amp; Darley, W. K. (2007). Modeling the determinants and effects of creativity in advertising. </w:t>
      </w:r>
      <w:r>
        <w:rPr>
          <w:i/>
          <w:iCs/>
          <w:sz w:val="21"/>
          <w:szCs w:val="21"/>
        </w:rPr>
        <w:t xml:space="preserve">Marketing Science, 26</w:t>
      </w:r>
      <w:r>
        <w:rPr>
          <w:sz w:val="21"/>
          <w:szCs w:val="21"/>
        </w:rPr>
        <w:t xml:space="preserve">(6), 819–833. https://doi.org/10.1287/mksc.1070.0272</w:t>
      </w:r>
    </w:p>
    <w:p>
      <w:pPr>
        <w:spacing w:after="120" w:line="276"/>
        <w:ind w:left="720" w:hanging="720"/>
      </w:pPr>
      <w:r>
        <w:rPr>
          <w:sz w:val="21"/>
          <w:szCs w:val="21"/>
        </w:rPr>
        <w:t xml:space="preserve">Smith, R. E., &amp; Yang, X. (2004). Toward a general theory of creativity in advertising: Examining the role of divergence. </w:t>
      </w:r>
      <w:r>
        <w:rPr>
          <w:i/>
          <w:iCs/>
          <w:sz w:val="21"/>
          <w:szCs w:val="21"/>
        </w:rPr>
        <w:t xml:space="preserve">Marketing Theory, 4</w:t>
      </w:r>
      <w:r>
        <w:rPr>
          <w:sz w:val="21"/>
          <w:szCs w:val="21"/>
        </w:rPr>
        <w:t xml:space="preserve">(1–2), 31–58. https://doi.org/10.1177/1470593104044086</w:t>
      </w:r>
    </w:p>
    <w:p>
      <w:pPr>
        <w:spacing w:after="120" w:line="276"/>
        <w:ind w:left="720" w:hanging="720"/>
      </w:pPr>
      <w:r>
        <w:rPr>
          <w:sz w:val="21"/>
          <w:szCs w:val="21"/>
        </w:rPr>
        <w:t xml:space="preserve">Smith, W. R. (1956). Product differentiation and market segmentation as alternative marketing strategies. </w:t>
      </w:r>
      <w:r>
        <w:rPr>
          <w:i/>
          <w:iCs/>
          <w:sz w:val="21"/>
          <w:szCs w:val="21"/>
        </w:rPr>
        <w:t xml:space="preserve">Journal of Marketing, 21</w:t>
      </w:r>
      <w:r>
        <w:rPr>
          <w:sz w:val="21"/>
          <w:szCs w:val="21"/>
        </w:rPr>
        <w:t xml:space="preserve">(1), 3–8. https://doi.org/10.1177/002224295602100102</w:t>
      </w:r>
    </w:p>
    <w:p>
      <w:pPr>
        <w:spacing w:after="120" w:line="276"/>
        <w:ind w:left="720" w:hanging="720"/>
      </w:pPr>
      <w:r>
        <w:rPr>
          <w:sz w:val="21"/>
          <w:szCs w:val="21"/>
        </w:rPr>
        <w:t xml:space="preserve">Sport Australia. (2019, April 30). </w:t>
      </w:r>
      <w:r>
        <w:rPr>
          <w:i/>
          <w:iCs/>
          <w:sz w:val="21"/>
          <w:szCs w:val="21"/>
        </w:rPr>
        <w:t xml:space="preserve">Australia's top 20 sports and physical activities revealed</w:t>
      </w:r>
      <w:r>
        <w:rPr>
          <w:sz w:val="21"/>
          <w:szCs w:val="21"/>
        </w:rPr>
        <w:t xml:space="preserve"> [Media release]. https://sportaus.gov.au/media_centre/news/previous-news-items/australias_top_20_sports_and_physical_activities_revealed</w:t>
      </w:r>
    </w:p>
    <w:p>
      <w:pPr>
        <w:spacing w:after="120" w:line="276"/>
        <w:ind w:left="720" w:hanging="720"/>
      </w:pPr>
      <w:r>
        <w:rPr>
          <w:sz w:val="21"/>
          <w:szCs w:val="21"/>
        </w:rPr>
        <w:t xml:space="preserve">Stephen, A. T. (2016). The role of digital and social media marketing in consumer behavior. </w:t>
      </w:r>
      <w:r>
        <w:rPr>
          <w:i/>
          <w:iCs/>
          <w:sz w:val="21"/>
          <w:szCs w:val="21"/>
        </w:rPr>
        <w:t xml:space="preserve">Current Opinion in Psychology, 10</w:t>
      </w:r>
      <w:r>
        <w:rPr>
          <w:sz w:val="21"/>
          <w:szCs w:val="21"/>
        </w:rPr>
        <w:t xml:space="preserve">, 17–21. https://doi.org/10.1016/j.copsyc.2015.10.016</w:t>
      </w:r>
    </w:p>
    <w:p>
      <w:pPr>
        <w:spacing w:after="120" w:line="276"/>
        <w:ind w:left="720" w:hanging="720"/>
      </w:pPr>
      <w:r>
        <w:rPr>
          <w:sz w:val="21"/>
          <w:szCs w:val="21"/>
        </w:rPr>
        <w:t xml:space="preserve">Stephen, A. T., &amp; Galak, J. (2012). The effects of traditional and social earned media on sales: A study of a microlending marketplace. </w:t>
      </w:r>
      <w:r>
        <w:rPr>
          <w:i/>
          <w:iCs/>
          <w:sz w:val="21"/>
          <w:szCs w:val="21"/>
        </w:rPr>
        <w:t xml:space="preserve">Journal of Marketing Research, 49</w:t>
      </w:r>
      <w:r>
        <w:rPr>
          <w:sz w:val="21"/>
          <w:szCs w:val="21"/>
        </w:rPr>
        <w:t xml:space="preserve">(5), 624–639. https://doi.org/10.1509/jmr.09.0401</w:t>
      </w:r>
    </w:p>
    <w:p>
      <w:pPr>
        <w:spacing w:after="120" w:line="276"/>
        <w:ind w:left="720" w:hanging="720"/>
      </w:pPr>
      <w:r>
        <w:rPr>
          <w:sz w:val="21"/>
          <w:szCs w:val="21"/>
        </w:rPr>
        <w:t xml:space="preserve">Strong, E. K., Jr. (1925). </w:t>
      </w:r>
      <w:r>
        <w:rPr>
          <w:i/>
          <w:iCs/>
          <w:sz w:val="21"/>
          <w:szCs w:val="21"/>
        </w:rPr>
        <w:t xml:space="preserve">The psychology of selling and advertising</w:t>
      </w:r>
      <w:r>
        <w:rPr>
          <w:sz w:val="21"/>
          <w:szCs w:val="21"/>
        </w:rPr>
        <w:t xml:space="preserve">. McGraw-Hill.</w:t>
      </w:r>
    </w:p>
    <w:p>
      <w:pPr>
        <w:spacing w:after="120" w:line="276"/>
        <w:ind w:left="720" w:hanging="720"/>
      </w:pPr>
      <w:r>
        <w:rPr>
          <w:sz w:val="21"/>
          <w:szCs w:val="21"/>
        </w:rPr>
        <w:t xml:space="preserve">Tagvenue. (2025). </w:t>
      </w:r>
      <w:r>
        <w:rPr>
          <w:i/>
          <w:iCs/>
          <w:sz w:val="21"/>
          <w:szCs w:val="21"/>
        </w:rPr>
        <w:t xml:space="preserve">Pilates studios for hire in Sydney</w:t>
      </w:r>
      <w:r>
        <w:rPr>
          <w:sz w:val="21"/>
          <w:szCs w:val="21"/>
        </w:rPr>
        <w:t xml:space="preserve">. https://www.tagvenue.com/au/hire/pilates-studios/sydney</w:t>
      </w:r>
    </w:p>
    <w:p>
      <w:pPr>
        <w:spacing w:after="120" w:line="276"/>
        <w:ind w:left="720" w:hanging="720"/>
      </w:pPr>
      <w:r>
        <w:rPr>
          <w:sz w:val="21"/>
          <w:szCs w:val="21"/>
        </w:rPr>
        <w:t xml:space="preserve">Vaughn, R. (1980). How advertising works: A planning model. </w:t>
      </w:r>
      <w:r>
        <w:rPr>
          <w:i/>
          <w:iCs/>
          <w:sz w:val="21"/>
          <w:szCs w:val="21"/>
        </w:rPr>
        <w:t xml:space="preserve">Journal of Advertising Research, 20</w:t>
      </w:r>
      <w:r>
        <w:rPr>
          <w:sz w:val="21"/>
          <w:szCs w:val="21"/>
        </w:rPr>
        <w:t xml:space="preserve">(5), 27–33.</w:t>
      </w:r>
    </w:p>
    <w:p>
      <w:pPr>
        <w:spacing w:after="120" w:line="276"/>
        <w:ind w:left="720" w:hanging="720"/>
      </w:pPr>
      <w:r>
        <w:rPr>
          <w:sz w:val="21"/>
          <w:szCs w:val="21"/>
        </w:rPr>
        <w:t xml:space="preserve">Wise. (2025). </w:t>
      </w:r>
      <w:r>
        <w:rPr>
          <w:i/>
          <w:iCs/>
          <w:sz w:val="21"/>
          <w:szCs w:val="21"/>
        </w:rPr>
        <w:t xml:space="preserve">Influencer marketing in 2025: Complete guide for Australian businesses</w:t>
      </w:r>
      <w:r>
        <w:rPr>
          <w:sz w:val="21"/>
          <w:szCs w:val="21"/>
        </w:rPr>
        <w:t xml:space="preserve">. https://wise.com/au/blog/influencer-marketing</w:t>
      </w:r>
    </w:p>
    <w:p>
      <w:pPr>
        <w:spacing w:after="120" w:line="276"/>
        <w:ind w:left="720" w:hanging="720"/>
      </w:pPr>
      <w:r>
        <w:rPr>
          <w:sz w:val="21"/>
          <w:szCs w:val="21"/>
        </w:rPr>
        <w:t xml:space="preserve">Wright, P. L. (1973). The cognitive processes mediating acceptance of advertising. </w:t>
      </w:r>
      <w:r>
        <w:rPr>
          <w:i/>
          <w:iCs/>
          <w:sz w:val="21"/>
          <w:szCs w:val="21"/>
        </w:rPr>
        <w:t xml:space="preserve">Journal of Marketing Research, 10</w:t>
      </w:r>
      <w:r>
        <w:rPr>
          <w:sz w:val="21"/>
          <w:szCs w:val="21"/>
        </w:rPr>
        <w:t xml:space="preserve">(1), 53–62. https://doi.org/10.1177/002224377301000108</w:t>
      </w:r>
    </w:p>
    <w:p>
      <w:r>
        <w:br w:type="page"/>
      </w:r>
    </w:p>
    <w:p>
      <w:pPr>
        <w:pStyle w:val="Heading1"/>
      </w:pPr>
      <w:r>
        <w:t xml:space="preserve">Appendix A: Google Trends, New South Wales, 2026</w:t>
      </w:r>
    </w:p>
    <w:p>
      <w:pPr>
        <w:keepNext/>
        <w:spacing w:after="40" w:before="200"/>
      </w:pPr>
      <w:r>
        <w:rPr>
          <w:b/>
          <w:bCs/>
        </w:rPr>
        <w:t xml:space="preserve">Figure A1</w:t>
      </w:r>
    </w:p>
    <w:p>
      <w:pPr>
        <w:keepNext/>
        <w:spacing w:after="100"/>
      </w:pPr>
      <w:r>
        <w:rPr>
          <w:i/>
          <w:iCs/>
        </w:rPr>
        <w:t xml:space="preserve">Search Interest for Lorna Jane, Lululemon and Alo Yoga (Topics), January–October 2026</w:t>
      </w:r>
    </w:p>
    <w:p>
      <w:pPr>
        <w:keepNext/>
        <w:spacing w:after="80"/>
        <w:jc w:val="center"/>
      </w:pPr>
      <w:r>
        <w:drawing>
          <wp:inline distT="0" distB="0" distL="0" distR="0">
            <wp:extent cx="6035040" cy="2209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035040" cy="2209800"/>
                    </a:xfrm>
                    <a:prstGeom prst="rect">
                      <a:avLst/>
                    </a:prstGeom>
                  </pic:spPr>
                </pic:pic>
              </a:graphicData>
            </a:graphic>
          </wp:inline>
        </w:drawing>
      </w:r>
    </w:p>
    <w:p>
      <w:pPr>
        <w:spacing w:after="240"/>
      </w:pPr>
      <w:r>
        <w:rPr>
          <w:i/>
          <w:iCs/>
          <w:color w:val="5B6770"/>
          <w:sz w:val="19"/>
          <w:szCs w:val="19"/>
        </w:rPr>
        <w:t xml:space="preserve">Note. </w:t>
      </w:r>
      <w:r>
        <w:rPr>
          <w:color w:val="5B6770"/>
          <w:sz w:val="19"/>
          <w:szCs w:val="19"/>
        </w:rPr>
        <w:t xml:space="preserve">From Google Trends (2026). Indexed relative search volume. Averages: Lululemon 55, Lorna Jane 21, Alo 20. Alo peaked at about 46 at the May opening and has sat near 11 since September; The Galeries opening produced no visible lift.</w:t>
      </w:r>
    </w:p>
    <w:p>
      <w:r>
        <w:br w:type="page"/>
      </w:r>
    </w:p>
    <w:p>
      <w:pPr>
        <w:pStyle w:val="Heading1"/>
      </w:pPr>
      <w:r>
        <w:t xml:space="preserve">Appendix B: Perceptual Positioning Map</w:t>
      </w:r>
    </w:p>
    <w:p>
      <w:pPr>
        <w:keepNext/>
        <w:spacing w:after="40" w:before="200"/>
      </w:pPr>
      <w:r>
        <w:rPr>
          <w:b/>
          <w:bCs/>
        </w:rPr>
        <w:t xml:space="preserve">Figure B1</w:t>
      </w:r>
    </w:p>
    <w:p>
      <w:pPr>
        <w:keepNext/>
        <w:spacing w:after="100"/>
      </w:pPr>
      <w:r>
        <w:rPr>
          <w:i/>
          <w:iCs/>
        </w:rPr>
        <w:t xml:space="preserve">Perceptual Positioning Map of Australian Premium Activewear</w:t>
      </w:r>
    </w:p>
    <w:p>
      <w:pPr>
        <w:keepNext/>
        <w:spacing w:after="80"/>
        <w:jc w:val="center"/>
      </w:pPr>
      <w:r>
        <w:drawing>
          <wp:inline distT="0" distB="0" distL="0" distR="0">
            <wp:extent cx="603504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035040" cy="3457575"/>
                    </a:xfrm>
                    <a:prstGeom prst="rect">
                      <a:avLst/>
                    </a:prstGeom>
                  </pic:spPr>
                </pic:pic>
              </a:graphicData>
            </a:graphic>
          </wp:inline>
        </w:drawing>
      </w:r>
    </w:p>
    <w:p>
      <w:pPr>
        <w:spacing w:after="240"/>
      </w:pPr>
      <w:r>
        <w:rPr>
          <w:i/>
          <w:iCs/>
          <w:color w:val="5B6770"/>
          <w:sz w:val="19"/>
          <w:szCs w:val="19"/>
        </w:rPr>
        <w:t xml:space="preserve">Note. </w:t>
      </w:r>
      <w:r>
        <w:rPr>
          <w:color w:val="5B6770"/>
          <w:sz w:val="19"/>
          <w:szCs w:val="19"/>
        </w:rPr>
        <w:t xml:space="preserve">Agency judgement from Table 1; to be validated in the pre-campaign survey.</w:t>
      </w:r>
    </w:p>
    <w:p>
      <w:r>
        <w:br w:type="page"/>
      </w:r>
    </w:p>
    <w:p>
      <w:pPr>
        <w:pStyle w:val="Heading1"/>
      </w:pPr>
      <w:r>
        <w:t xml:space="preserve">Appendix C: Segment Evaluation</w:t>
      </w:r>
    </w:p>
    <w:p>
      <w:pPr>
        <w:keepNext/>
        <w:spacing w:after="40" w:before="200"/>
      </w:pPr>
      <w:r>
        <w:rPr>
          <w:b/>
          <w:bCs/>
        </w:rPr>
        <w:t xml:space="preserve">Table C1</w:t>
      </w:r>
    </w:p>
    <w:p>
      <w:pPr>
        <w:keepNext/>
        <w:spacing w:after="100"/>
      </w:pPr>
      <w:r>
        <w:rPr>
          <w:i/>
          <w:iCs/>
        </w:rPr>
        <w:t xml:space="preserve">Evaluation of Potential Target Segments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35"/>
        <w:gridCol w:w="2891"/>
        <w:gridCol w:w="2506"/>
        <w:gridCol w:w="2506"/>
      </w:tblGrid>
      <w:tr>
        <w:trPr>
          <w:tblHeader/>
        </w:trPr>
        <w:tc>
          <w:tcPr>
            <w:tcW w:type="dxa" w:w="1735"/>
            <w:tcBorders>
              <w:top w:val="single" w:color="C9CED2" w:sz="4"/>
              <w:left w:val="single" w:color="C9CED2" w:sz="4"/>
              <w:bottom w:val="single" w:color="C9CED2" w:sz="4"/>
              <w:right w:val="single" w:color="C9CED2" w:sz="4"/>
            </w:tcBorders>
            <w:shd w:fill="1E2A32" w:color="auto" w:val="clear"/>
            <w:tcMar>
              <w:top w:type="dxa" w:w="60"/>
              <w:left w:type="dxa" w:w="90"/>
              <w:bottom w:type="dxa" w:w="60"/>
              <w:right w:type="dxa" w:w="90"/>
            </w:tcMar>
          </w:tcPr>
          <w:p>
            <w:pPr>
              <w:spacing w:after="0" w:line="252"/>
            </w:pPr>
            <w:r>
              <w:rPr>
                <w:b/>
                <w:bCs/>
                <w:color w:val="FFFFFF"/>
                <w:sz w:val="17"/>
                <w:szCs w:val="17"/>
              </w:rPr>
              <w:t xml:space="preserve">Criterion</w:t>
            </w:r>
          </w:p>
        </w:tc>
        <w:tc>
          <w:tcPr>
            <w:tcW w:type="dxa" w:w="2891"/>
            <w:tcBorders>
              <w:top w:val="single" w:color="C9CED2" w:sz="4"/>
              <w:left w:val="single" w:color="C9CED2" w:sz="4"/>
              <w:bottom w:val="single" w:color="C9CED2" w:sz="4"/>
              <w:right w:val="single" w:color="C9CED2" w:sz="4"/>
            </w:tcBorders>
            <w:shd w:fill="1E2A32" w:color="auto" w:val="clear"/>
            <w:tcMar>
              <w:top w:type="dxa" w:w="60"/>
              <w:left w:type="dxa" w:w="90"/>
              <w:bottom w:type="dxa" w:w="60"/>
              <w:right w:type="dxa" w:w="90"/>
            </w:tcMar>
          </w:tcPr>
          <w:p>
            <w:pPr>
              <w:spacing w:after="0" w:line="252"/>
            </w:pPr>
            <w:r>
              <w:rPr>
                <w:b/>
                <w:bCs/>
                <w:color w:val="FFFFFF"/>
                <w:sz w:val="17"/>
                <w:szCs w:val="17"/>
              </w:rPr>
              <w:t xml:space="preserve">A: Style-conscious women, 22–34, Sydney</w:t>
            </w:r>
          </w:p>
        </w:tc>
        <w:tc>
          <w:tcPr>
            <w:tcW w:type="dxa" w:w="2506"/>
            <w:tcBorders>
              <w:top w:val="single" w:color="C9CED2" w:sz="4"/>
              <w:left w:val="single" w:color="C9CED2" w:sz="4"/>
              <w:bottom w:val="single" w:color="C9CED2" w:sz="4"/>
              <w:right w:val="single" w:color="C9CED2" w:sz="4"/>
            </w:tcBorders>
            <w:shd w:fill="1E2A32" w:color="auto" w:val="clear"/>
            <w:tcMar>
              <w:top w:type="dxa" w:w="60"/>
              <w:left w:type="dxa" w:w="90"/>
              <w:bottom w:type="dxa" w:w="60"/>
              <w:right w:type="dxa" w:w="90"/>
            </w:tcMar>
          </w:tcPr>
          <w:p>
            <w:pPr>
              <w:spacing w:after="0" w:line="252"/>
            </w:pPr>
            <w:r>
              <w:rPr>
                <w:b/>
                <w:bCs/>
                <w:color w:val="FFFFFF"/>
                <w:sz w:val="17"/>
                <w:szCs w:val="17"/>
              </w:rPr>
              <w:t xml:space="preserve">B: Affluent wellness women, 35–50</w:t>
            </w:r>
          </w:p>
        </w:tc>
        <w:tc>
          <w:tcPr>
            <w:tcW w:type="dxa" w:w="2506"/>
            <w:tcBorders>
              <w:top w:val="single" w:color="C9CED2" w:sz="4"/>
              <w:left w:val="single" w:color="C9CED2" w:sz="4"/>
              <w:bottom w:val="single" w:color="C9CED2" w:sz="4"/>
              <w:right w:val="single" w:color="C9CED2" w:sz="4"/>
            </w:tcBorders>
            <w:shd w:fill="1E2A32" w:color="auto" w:val="clear"/>
            <w:tcMar>
              <w:top w:type="dxa" w:w="60"/>
              <w:left w:type="dxa" w:w="90"/>
              <w:bottom w:type="dxa" w:w="60"/>
              <w:right w:type="dxa" w:w="90"/>
            </w:tcMar>
          </w:tcPr>
          <w:p>
            <w:pPr>
              <w:spacing w:after="0" w:line="252"/>
            </w:pPr>
            <w:r>
              <w:rPr>
                <w:b/>
                <w:bCs/>
                <w:color w:val="FFFFFF"/>
                <w:sz w:val="17"/>
                <w:szCs w:val="17"/>
              </w:rPr>
              <w:t xml:space="preserve">C: Men and unisex</w:t>
            </w:r>
          </w:p>
        </w:tc>
      </w:tr>
      <w:tr>
        <w:trPr>
          <w:cantSplit/>
        </w:trPr>
        <w:tc>
          <w:tcPr>
            <w:tcW w:type="dxa" w:w="1735"/>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bCs/>
                <w:color w:val="1E2A32"/>
                <w:sz w:val="17"/>
                <w:szCs w:val="17"/>
              </w:rPr>
              <w:t xml:space="preserve">Profile</w:t>
            </w:r>
          </w:p>
        </w:tc>
        <w:tc>
          <w:tcPr>
            <w:tcW w:type="dxa" w:w="2891"/>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Pilates, yoga, gym; daily Instagram and TikTok; older Gen Z and younger Millennials (Francis &amp; Hoefel, 2018)</w:t>
            </w:r>
          </w:p>
        </w:tc>
        <w:tc>
          <w:tcPr>
            <w:tcW w:type="dxa" w:w="2506"/>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Higher incomes; established routines</w:t>
            </w:r>
          </w:p>
        </w:tc>
        <w:tc>
          <w:tcPr>
            <w:tcW w:type="dxa" w:w="2506"/>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Growing, but small in Alo's range</w:t>
            </w:r>
          </w:p>
        </w:tc>
      </w:tr>
      <w:tr>
        <w:trPr>
          <w:cantSplit/>
        </w:trPr>
        <w:tc>
          <w:tcPr>
            <w:tcW w:type="dxa" w:w="1735"/>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bCs/>
                <w:color w:val="1E2A32"/>
                <w:sz w:val="17"/>
                <w:szCs w:val="17"/>
              </w:rPr>
              <w:t xml:space="preserve">Accessible</w:t>
            </w:r>
          </w:p>
        </w:tc>
        <w:tc>
          <w:tcPr>
            <w:tcW w:type="dxa" w:w="2891"/>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High: near Chatswood, CBD and Bondi stores; reachable through creators</w:t>
            </w:r>
          </w:p>
        </w:tc>
        <w:tc>
          <w:tcPr>
            <w:tcW w:type="dxa" w:w="2506"/>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Medium</w:t>
            </w:r>
          </w:p>
        </w:tc>
        <w:tc>
          <w:tcPr>
            <w:tcW w:type="dxa" w:w="2506"/>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Medium</w:t>
            </w:r>
          </w:p>
        </w:tc>
      </w:tr>
      <w:tr>
        <w:trPr>
          <w:cantSplit/>
        </w:trPr>
        <w:tc>
          <w:tcPr>
            <w:tcW w:type="dxa" w:w="1735"/>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bCs/>
                <w:color w:val="1E2A32"/>
                <w:sz w:val="17"/>
                <w:szCs w:val="17"/>
              </w:rPr>
              <w:t xml:space="preserve">Responsive</w:t>
            </w:r>
          </w:p>
        </w:tc>
        <w:tc>
          <w:tcPr>
            <w:tcW w:type="dxa" w:w="2891"/>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High: identity-driven purchase (Belk, 1988)</w:t>
            </w:r>
          </w:p>
        </w:tc>
        <w:tc>
          <w:tcPr>
            <w:tcW w:type="dxa" w:w="2506"/>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Low: loyal to Lululemon and Lorna Jane</w:t>
            </w:r>
          </w:p>
        </w:tc>
        <w:tc>
          <w:tcPr>
            <w:tcW w:type="dxa" w:w="2506"/>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Medium</w:t>
            </w:r>
          </w:p>
        </w:tc>
      </w:tr>
      <w:tr>
        <w:trPr>
          <w:cantSplit/>
        </w:trPr>
        <w:tc>
          <w:tcPr>
            <w:tcW w:type="dxa" w:w="1735"/>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bCs/>
                <w:color w:val="1E2A32"/>
                <w:sz w:val="17"/>
                <w:szCs w:val="17"/>
              </w:rPr>
              <w:t xml:space="preserve">Fit with Alo</w:t>
            </w:r>
          </w:p>
        </w:tc>
        <w:tc>
          <w:tcPr>
            <w:tcW w:type="dxa" w:w="2891"/>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High (Inside Retail, 2026)</w:t>
            </w:r>
          </w:p>
        </w:tc>
        <w:tc>
          <w:tcPr>
            <w:tcW w:type="dxa" w:w="2506"/>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Medium</w:t>
            </w:r>
          </w:p>
        </w:tc>
        <w:tc>
          <w:tcPr>
            <w:tcW w:type="dxa" w:w="2506"/>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Low–medium</w:t>
            </w:r>
          </w:p>
        </w:tc>
      </w:tr>
      <w:tr>
        <w:trPr>
          <w:cantSplit/>
        </w:trPr>
        <w:tc>
          <w:tcPr>
            <w:tcW w:type="dxa" w:w="1735"/>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bCs/>
                <w:color w:val="1E2A32"/>
                <w:sz w:val="17"/>
                <w:szCs w:val="17"/>
              </w:rPr>
              <w:t xml:space="preserve">Risk</w:t>
            </w:r>
          </w:p>
        </w:tc>
        <w:tc>
          <w:tcPr>
            <w:tcW w:type="dxa" w:w="2891"/>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Financial pressure (Deloitte, 2026)</w:t>
            </w:r>
          </w:p>
        </w:tc>
        <w:tc>
          <w:tcPr>
            <w:tcW w:type="dxa" w:w="2506"/>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Hard to switch</w:t>
            </w:r>
          </w:p>
        </w:tc>
        <w:tc>
          <w:tcPr>
            <w:tcW w:type="dxa" w:w="2506"/>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Needs separate creative</w:t>
            </w:r>
          </w:p>
        </w:tc>
      </w:tr>
      <w:tr>
        <w:trPr>
          <w:cantSplit/>
        </w:trPr>
        <w:tc>
          <w:tcPr>
            <w:tcW w:type="dxa" w:w="1735"/>
            <w:tcBorders>
              <w:top w:val="single" w:color="C9CED2" w:sz="4"/>
              <w:left w:val="single" w:color="C9CED2" w:sz="4"/>
              <w:bottom w:val="single" w:color="C9CED2" w:sz="4"/>
              <w:right w:val="single" w:color="C9CED2" w:sz="4"/>
            </w:tcBorders>
            <w:shd w:fill="EFE7DA" w:color="auto" w:val="clear"/>
            <w:tcMar>
              <w:top w:type="dxa" w:w="60"/>
              <w:left w:type="dxa" w:w="90"/>
              <w:bottom w:type="dxa" w:w="60"/>
              <w:right w:type="dxa" w:w="90"/>
            </w:tcMar>
          </w:tcPr>
          <w:p>
            <w:pPr>
              <w:spacing w:after="0" w:line="252"/>
            </w:pPr>
            <w:r>
              <w:rPr>
                <w:b/>
                <w:bCs/>
                <w:color w:val="1E2A32"/>
                <w:sz w:val="17"/>
                <w:szCs w:val="17"/>
              </w:rPr>
              <w:t xml:space="preserve">Decision</w:t>
            </w:r>
          </w:p>
        </w:tc>
        <w:tc>
          <w:tcPr>
            <w:tcW w:type="dxa" w:w="2891"/>
            <w:tcBorders>
              <w:top w:val="single" w:color="C9CED2" w:sz="4"/>
              <w:left w:val="single" w:color="C9CED2" w:sz="4"/>
              <w:bottom w:val="single" w:color="C9CED2" w:sz="4"/>
              <w:right w:val="single" w:color="C9CED2" w:sz="4"/>
            </w:tcBorders>
            <w:shd w:fill="EFE7DA" w:color="auto" w:val="clear"/>
            <w:tcMar>
              <w:top w:type="dxa" w:w="60"/>
              <w:left w:type="dxa" w:w="90"/>
              <w:bottom w:type="dxa" w:w="60"/>
              <w:right w:type="dxa" w:w="90"/>
            </w:tcMar>
          </w:tcPr>
          <w:p>
            <w:pPr>
              <w:spacing w:after="0" w:line="252"/>
            </w:pPr>
            <w:r>
              <w:rPr>
                <w:b/>
                <w:bCs/>
                <w:color w:val="1E2A32"/>
                <w:sz w:val="17"/>
                <w:szCs w:val="17"/>
              </w:rPr>
              <w:t xml:space="preserve">Primary target</w:t>
            </w:r>
          </w:p>
        </w:tc>
        <w:tc>
          <w:tcPr>
            <w:tcW w:type="dxa" w:w="2506"/>
            <w:tcBorders>
              <w:top w:val="single" w:color="C9CED2" w:sz="4"/>
              <w:left w:val="single" w:color="C9CED2" w:sz="4"/>
              <w:bottom w:val="single" w:color="C9CED2" w:sz="4"/>
              <w:right w:val="single" w:color="C9CED2" w:sz="4"/>
            </w:tcBorders>
            <w:shd w:fill="EFE7DA" w:color="auto" w:val="clear"/>
            <w:tcMar>
              <w:top w:type="dxa" w:w="60"/>
              <w:left w:type="dxa" w:w="90"/>
              <w:bottom w:type="dxa" w:w="60"/>
              <w:right w:type="dxa" w:w="90"/>
            </w:tcMar>
          </w:tcPr>
          <w:p>
            <w:pPr>
              <w:spacing w:after="0" w:line="252"/>
            </w:pPr>
            <w:r>
              <w:rPr>
                <w:b/>
                <w:bCs/>
                <w:color w:val="1E2A32"/>
                <w:sz w:val="17"/>
                <w:szCs w:val="17"/>
              </w:rPr>
              <w:t xml:space="preserve">Welcome spillover via outdoor and audio</w:t>
            </w:r>
          </w:p>
        </w:tc>
        <w:tc>
          <w:tcPr>
            <w:tcW w:type="dxa" w:w="2506"/>
            <w:tcBorders>
              <w:top w:val="single" w:color="C9CED2" w:sz="4"/>
              <w:left w:val="single" w:color="C9CED2" w:sz="4"/>
              <w:bottom w:val="single" w:color="C9CED2" w:sz="4"/>
              <w:right w:val="single" w:color="C9CED2" w:sz="4"/>
            </w:tcBorders>
            <w:shd w:fill="EFE7DA" w:color="auto" w:val="clear"/>
            <w:tcMar>
              <w:top w:type="dxa" w:w="60"/>
              <w:left w:type="dxa" w:w="90"/>
              <w:bottom w:type="dxa" w:w="60"/>
              <w:right w:type="dxa" w:w="90"/>
            </w:tcMar>
          </w:tcPr>
          <w:p>
            <w:pPr>
              <w:spacing w:after="0" w:line="252"/>
            </w:pPr>
            <w:r>
              <w:rPr>
                <w:b/>
                <w:bCs/>
                <w:color w:val="1E2A32"/>
                <w:sz w:val="17"/>
                <w:szCs w:val="17"/>
              </w:rPr>
              <w:t xml:space="preserve">Not targeted in this phase</w:t>
            </w:r>
          </w:p>
        </w:tc>
      </w:tr>
    </w:tbl>
    <w:p>
      <w:pPr>
        <w:spacing w:after="160"/>
      </w:pPr>
    </w:p>
    <w:p>
      <w:r>
        <w:br w:type="page"/>
      </w:r>
    </w:p>
    <w:p>
      <w:pPr>
        <w:pStyle w:val="Heading1"/>
      </w:pPr>
      <w:r>
        <w:t xml:space="preserve">Appendix D: Standardisation Versus Localisation</w:t>
      </w:r>
    </w:p>
    <w:p>
      <w:pPr>
        <w:keepNext/>
        <w:spacing w:after="40" w:before="200"/>
      </w:pPr>
      <w:r>
        <w:rPr>
          <w:b/>
          <w:bCs/>
        </w:rPr>
        <w:t xml:space="preserve">Table D1</w:t>
      </w:r>
    </w:p>
    <w:p>
      <w:pPr>
        <w:keepNext/>
        <w:spacing w:after="100"/>
      </w:pPr>
      <w:r>
        <w:rPr>
          <w:i/>
          <w:iCs/>
        </w:rPr>
        <w:t xml:space="preserve">Standardisation Versus Localisation Governance for the Australian Launch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8"/>
        <w:gridCol w:w="3855"/>
        <w:gridCol w:w="3855"/>
      </w:tblGrid>
      <w:tr>
        <w:trPr>
          <w:tblHeader/>
        </w:trPr>
        <w:tc>
          <w:tcPr>
            <w:tcW w:type="dxa" w:w="1928"/>
            <w:tcBorders>
              <w:top w:val="single" w:color="C9CED2" w:sz="4"/>
              <w:left w:val="single" w:color="C9CED2" w:sz="4"/>
              <w:bottom w:val="single" w:color="C9CED2" w:sz="4"/>
              <w:right w:val="single" w:color="C9CED2" w:sz="4"/>
            </w:tcBorders>
            <w:shd w:fill="1E2A32" w:color="auto" w:val="clear"/>
            <w:tcMar>
              <w:top w:type="dxa" w:w="60"/>
              <w:left w:type="dxa" w:w="90"/>
              <w:bottom w:type="dxa" w:w="60"/>
              <w:right w:type="dxa" w:w="90"/>
            </w:tcMar>
          </w:tcPr>
          <w:p>
            <w:pPr>
              <w:spacing w:after="0" w:line="252"/>
            </w:pPr>
            <w:r>
              <w:rPr>
                <w:b/>
                <w:bCs/>
                <w:color w:val="FFFFFF"/>
                <w:sz w:val="17"/>
                <w:szCs w:val="17"/>
              </w:rPr>
              <w:t xml:space="preserve">Element</w:t>
            </w:r>
          </w:p>
        </w:tc>
        <w:tc>
          <w:tcPr>
            <w:tcW w:type="dxa" w:w="3855"/>
            <w:tcBorders>
              <w:top w:val="single" w:color="C9CED2" w:sz="4"/>
              <w:left w:val="single" w:color="C9CED2" w:sz="4"/>
              <w:bottom w:val="single" w:color="C9CED2" w:sz="4"/>
              <w:right w:val="single" w:color="C9CED2" w:sz="4"/>
            </w:tcBorders>
            <w:shd w:fill="1E2A32" w:color="auto" w:val="clear"/>
            <w:tcMar>
              <w:top w:type="dxa" w:w="60"/>
              <w:left w:type="dxa" w:w="90"/>
              <w:bottom w:type="dxa" w:w="60"/>
              <w:right w:type="dxa" w:w="90"/>
            </w:tcMar>
          </w:tcPr>
          <w:p>
            <w:pPr>
              <w:spacing w:after="0" w:line="252"/>
            </w:pPr>
            <w:r>
              <w:rPr>
                <w:b/>
                <w:bCs/>
                <w:color w:val="FFFFFF"/>
                <w:sz w:val="17"/>
                <w:szCs w:val="17"/>
              </w:rPr>
              <w:t xml:space="preserve">Standardised (Alo global)</w:t>
            </w:r>
          </w:p>
        </w:tc>
        <w:tc>
          <w:tcPr>
            <w:tcW w:type="dxa" w:w="3855"/>
            <w:tcBorders>
              <w:top w:val="single" w:color="C9CED2" w:sz="4"/>
              <w:left w:val="single" w:color="C9CED2" w:sz="4"/>
              <w:bottom w:val="single" w:color="C9CED2" w:sz="4"/>
              <w:right w:val="single" w:color="C9CED2" w:sz="4"/>
            </w:tcBorders>
            <w:shd w:fill="1E2A32" w:color="auto" w:val="clear"/>
            <w:tcMar>
              <w:top w:type="dxa" w:w="60"/>
              <w:left w:type="dxa" w:w="90"/>
              <w:bottom w:type="dxa" w:w="60"/>
              <w:right w:type="dxa" w:w="90"/>
            </w:tcMar>
          </w:tcPr>
          <w:p>
            <w:pPr>
              <w:spacing w:after="0" w:line="252"/>
            </w:pPr>
            <w:r>
              <w:rPr>
                <w:b/>
                <w:bCs/>
                <w:color w:val="FFFFFF"/>
                <w:sz w:val="17"/>
                <w:szCs w:val="17"/>
              </w:rPr>
              <w:t xml:space="preserve">Localised (Sydney)</w:t>
            </w:r>
          </w:p>
        </w:tc>
      </w:tr>
      <w:tr>
        <w:trPr>
          <w:cantSplit/>
        </w:trPr>
        <w:tc>
          <w:tcPr>
            <w:tcW w:type="dxa" w:w="1928"/>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bCs/>
                <w:color w:val="1E2A32"/>
                <w:sz w:val="17"/>
                <w:szCs w:val="17"/>
              </w:rPr>
              <w:t xml:space="preserve">Brand identity and assets</w:t>
            </w:r>
          </w:p>
        </w:tc>
        <w:tc>
          <w:tcPr>
            <w:tcW w:type="dxa" w:w="3855"/>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Logo, neutral palette, studio aesthetic, typography</w:t>
            </w:r>
          </w:p>
        </w:tc>
        <w:tc>
          <w:tcPr>
            <w:tcW w:type="dxa" w:w="3855"/>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w:t>
            </w:r>
          </w:p>
        </w:tc>
      </w:tr>
      <w:tr>
        <w:trPr>
          <w:cantSplit/>
        </w:trPr>
        <w:tc>
          <w:tcPr>
            <w:tcW w:type="dxa" w:w="1928"/>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bCs/>
                <w:color w:val="1E2A32"/>
                <w:sz w:val="17"/>
                <w:szCs w:val="17"/>
              </w:rPr>
              <w:t xml:space="preserve">Positioning</w:t>
            </w:r>
          </w:p>
        </w:tc>
        <w:tc>
          <w:tcPr>
            <w:tcW w:type="dxa" w:w="3855"/>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Premium, design-led activewear</w:t>
            </w:r>
          </w:p>
        </w:tc>
        <w:tc>
          <w:tcPr>
            <w:tcW w:type="dxa" w:w="3855"/>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Expressed as "Mat to Moment": studio to street in a Sydney day</w:t>
            </w:r>
          </w:p>
        </w:tc>
      </w:tr>
      <w:tr>
        <w:trPr>
          <w:cantSplit/>
        </w:trPr>
        <w:tc>
          <w:tcPr>
            <w:tcW w:type="dxa" w:w="1928"/>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bCs/>
                <w:color w:val="1E2A32"/>
                <w:sz w:val="17"/>
                <w:szCs w:val="17"/>
              </w:rPr>
              <w:t xml:space="preserve">Sources</w:t>
            </w:r>
          </w:p>
        </w:tc>
        <w:tc>
          <w:tcPr>
            <w:tcW w:type="dxa" w:w="3855"/>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No celebrity ambassadors in this launch phase</w:t>
            </w:r>
          </w:p>
        </w:tc>
        <w:tc>
          <w:tcPr>
            <w:tcW w:type="dxa" w:w="3855"/>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Sydney instructors, micro-creators, one macro creator</w:t>
            </w:r>
          </w:p>
        </w:tc>
      </w:tr>
      <w:tr>
        <w:trPr>
          <w:cantSplit/>
        </w:trPr>
        <w:tc>
          <w:tcPr>
            <w:tcW w:type="dxa" w:w="1928"/>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bCs/>
                <w:color w:val="1E2A32"/>
                <w:sz w:val="17"/>
                <w:szCs w:val="17"/>
              </w:rPr>
              <w:t xml:space="preserve">Settings and stories</w:t>
            </w:r>
          </w:p>
        </w:tc>
        <w:tc>
          <w:tcPr>
            <w:tcW w:type="dxa" w:w="3855"/>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w:t>
            </w:r>
          </w:p>
        </w:tc>
        <w:tc>
          <w:tcPr>
            <w:tcW w:type="dxa" w:w="3855"/>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Bondi studio, neighbourhood café, Bondi-to-Bronte walk</w:t>
            </w:r>
          </w:p>
        </w:tc>
      </w:tr>
      <w:tr>
        <w:trPr>
          <w:cantSplit/>
        </w:trPr>
        <w:tc>
          <w:tcPr>
            <w:tcW w:type="dxa" w:w="1928"/>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bCs/>
                <w:color w:val="1E2A32"/>
                <w:sz w:val="17"/>
                <w:szCs w:val="17"/>
              </w:rPr>
              <w:t xml:space="preserve">Partnerships</w:t>
            </w:r>
          </w:p>
        </w:tc>
        <w:tc>
          <w:tcPr>
            <w:tcW w:type="dxa" w:w="3855"/>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w:t>
            </w:r>
          </w:p>
        </w:tc>
        <w:tc>
          <w:tcPr>
            <w:tcW w:type="dxa" w:w="3855"/>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Body by Berner and partner studios near each store</w:t>
            </w:r>
          </w:p>
        </w:tc>
      </w:tr>
      <w:tr>
        <w:trPr>
          <w:cantSplit/>
        </w:trPr>
        <w:tc>
          <w:tcPr>
            <w:tcW w:type="dxa" w:w="1928"/>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bCs/>
                <w:color w:val="1E2A32"/>
                <w:sz w:val="17"/>
                <w:szCs w:val="17"/>
              </w:rPr>
              <w:t xml:space="preserve">Offers</w:t>
            </w:r>
          </w:p>
        </w:tc>
        <w:tc>
          <w:tcPr>
            <w:tcW w:type="dxa" w:w="3855"/>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No discounting (protects premium)</w:t>
            </w:r>
          </w:p>
        </w:tc>
        <w:tc>
          <w:tcPr>
            <w:tcW w:type="dxa" w:w="3855"/>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Styling appointments and early access to new drops</w:t>
            </w:r>
          </w:p>
        </w:tc>
      </w:tr>
      <w:tr>
        <w:trPr>
          <w:cantSplit/>
        </w:trPr>
        <w:tc>
          <w:tcPr>
            <w:tcW w:type="dxa" w:w="1928"/>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bCs/>
                <w:color w:val="1E2A32"/>
                <w:sz w:val="17"/>
                <w:szCs w:val="17"/>
              </w:rPr>
              <w:t xml:space="preserve">Media</w:t>
            </w:r>
          </w:p>
        </w:tc>
        <w:tc>
          <w:tcPr>
            <w:tcW w:type="dxa" w:w="3855"/>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w:t>
            </w:r>
          </w:p>
        </w:tc>
        <w:tc>
          <w:tcPr>
            <w:tcW w:type="dxa" w:w="3855"/>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Store-catchment outdoor, geo-targeted social, Greater Sydney audio</w:t>
            </w:r>
          </w:p>
        </w:tc>
      </w:tr>
    </w:tbl>
    <w:p>
      <w:pPr>
        <w:spacing w:after="240" w:before="60"/>
      </w:pPr>
      <w:r>
        <w:rPr>
          <w:i/>
          <w:iCs/>
          <w:color w:val="5B6770"/>
          <w:sz w:val="19"/>
          <w:szCs w:val="19"/>
        </w:rPr>
        <w:t xml:space="preserve">Note. </w:t>
      </w:r>
      <w:r>
        <w:rPr>
          <w:color w:val="5B6770"/>
          <w:sz w:val="19"/>
          <w:szCs w:val="19"/>
        </w:rPr>
        <w:t xml:space="preserve">Agency governance split informed by Levitt (1983) and Sichtmann et al. (2019).</w:t>
      </w:r>
    </w:p>
    <w:p>
      <w:r>
        <w:br w:type="page"/>
      </w:r>
    </w:p>
    <w:p>
      <w:pPr>
        <w:pStyle w:val="Heading1"/>
      </w:pPr>
      <w:r>
        <w:t xml:space="preserve">Appendix E: Integration Architecture</w:t>
      </w:r>
    </w:p>
    <w:p>
      <w:pPr>
        <w:keepNext/>
        <w:spacing w:after="40" w:before="200"/>
      </w:pPr>
      <w:r>
        <w:rPr>
          <w:b/>
          <w:bCs/>
        </w:rPr>
        <w:t xml:space="preserve">Figure E1</w:t>
      </w:r>
    </w:p>
    <w:p>
      <w:pPr>
        <w:keepNext/>
        <w:spacing w:after="100"/>
      </w:pPr>
      <w:r>
        <w:rPr>
          <w:i/>
          <w:iCs/>
        </w:rPr>
        <w:t xml:space="preserve">One Message, Three Pillars</w:t>
      </w:r>
    </w:p>
    <w:p>
      <w:pPr>
        <w:keepNext/>
        <w:spacing w:after="80"/>
        <w:jc w:val="center"/>
      </w:pPr>
      <w:r>
        <w:drawing>
          <wp:inline distT="0" distB="0" distL="0" distR="0">
            <wp:extent cx="6035040" cy="2619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035040" cy="2619375"/>
                    </a:xfrm>
                    <a:prstGeom prst="rect">
                      <a:avLst/>
                    </a:prstGeom>
                  </pic:spPr>
                </pic:pic>
              </a:graphicData>
            </a:graphic>
          </wp:inline>
        </w:drawing>
      </w:r>
    </w:p>
    <w:p>
      <w:pPr>
        <w:spacing w:after="240"/>
      </w:pPr>
      <w:r>
        <w:rPr>
          <w:i/>
          <w:iCs/>
          <w:color w:val="5B6770"/>
          <w:sz w:val="19"/>
          <w:szCs w:val="19"/>
        </w:rPr>
        <w:t xml:space="preserve">Note. </w:t>
      </w:r>
      <w:r>
        <w:rPr>
          <w:color w:val="5B6770"/>
          <w:sz w:val="19"/>
          <w:szCs w:val="19"/>
        </w:rPr>
        <w:t xml:space="preserve">Challenges, objectives and touchpoints refer to Sections 1.4, 2 and 5.</w:t>
      </w:r>
    </w:p>
    <w:p>
      <w:r>
        <w:br w:type="page"/>
      </w:r>
    </w:p>
    <w:p>
      <w:pPr>
        <w:pStyle w:val="Heading1"/>
      </w:pPr>
      <w:r>
        <w:t xml:space="preserve">Appendix F: Divergence and Relevance Assessment</w:t>
      </w:r>
    </w:p>
    <w:p>
      <w:pPr>
        <w:keepNext/>
        <w:spacing w:after="40" w:before="200"/>
      </w:pPr>
      <w:r>
        <w:rPr>
          <w:b/>
          <w:bCs/>
        </w:rPr>
        <w:t xml:space="preserve">Table F1</w:t>
      </w:r>
    </w:p>
    <w:p>
      <w:pPr>
        <w:keepNext/>
        <w:spacing w:after="100"/>
      </w:pPr>
      <w:r>
        <w:rPr>
          <w:i/>
          <w:iCs/>
        </w:rPr>
        <w:t xml:space="preserve">Divergence and Relevance Applied to One Set, One Day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7325"/>
      </w:tblGrid>
      <w:tr>
        <w:trPr>
          <w:tblHeader/>
        </w:trPr>
        <w:tc>
          <w:tcPr>
            <w:tcW w:type="dxa" w:w="2313"/>
            <w:tcBorders>
              <w:top w:val="single" w:color="C9CED2" w:sz="4"/>
              <w:left w:val="single" w:color="C9CED2" w:sz="4"/>
              <w:bottom w:val="single" w:color="C9CED2" w:sz="4"/>
              <w:right w:val="single" w:color="C9CED2" w:sz="4"/>
            </w:tcBorders>
            <w:shd w:fill="1E2A32" w:color="auto" w:val="clear"/>
            <w:tcMar>
              <w:top w:type="dxa" w:w="60"/>
              <w:left w:type="dxa" w:w="90"/>
              <w:bottom w:type="dxa" w:w="60"/>
              <w:right w:type="dxa" w:w="90"/>
            </w:tcMar>
          </w:tcPr>
          <w:p>
            <w:pPr>
              <w:spacing w:after="0" w:line="252"/>
            </w:pPr>
            <w:r>
              <w:rPr>
                <w:b/>
                <w:bCs/>
                <w:color w:val="FFFFFF"/>
                <w:sz w:val="17"/>
                <w:szCs w:val="17"/>
              </w:rPr>
              <w:t xml:space="preserve">Dimension</w:t>
            </w:r>
          </w:p>
        </w:tc>
        <w:tc>
          <w:tcPr>
            <w:tcW w:type="dxa" w:w="7325"/>
            <w:tcBorders>
              <w:top w:val="single" w:color="C9CED2" w:sz="4"/>
              <w:left w:val="single" w:color="C9CED2" w:sz="4"/>
              <w:bottom w:val="single" w:color="C9CED2" w:sz="4"/>
              <w:right w:val="single" w:color="C9CED2" w:sz="4"/>
            </w:tcBorders>
            <w:shd w:fill="1E2A32" w:color="auto" w:val="clear"/>
            <w:tcMar>
              <w:top w:type="dxa" w:w="60"/>
              <w:left w:type="dxa" w:w="90"/>
              <w:bottom w:type="dxa" w:w="60"/>
              <w:right w:type="dxa" w:w="90"/>
            </w:tcMar>
          </w:tcPr>
          <w:p>
            <w:pPr>
              <w:spacing w:after="0" w:line="252"/>
            </w:pPr>
            <w:r>
              <w:rPr>
                <w:b/>
                <w:bCs/>
                <w:color w:val="FFFFFF"/>
                <w:sz w:val="17"/>
                <w:szCs w:val="17"/>
              </w:rPr>
              <w:t xml:space="preserve">Evidence in the campaign</w:t>
            </w:r>
          </w:p>
        </w:tc>
      </w:tr>
      <w:tr>
        <w:tc>
          <w:tcPr>
            <w:tcW w:type="dxa" w:w="9638"/>
            <w:gridSpan w:val="2"/>
            <w:tcBorders>
              <w:top w:val="single" w:color="C9CED2" w:sz="4"/>
              <w:left w:val="single" w:color="C9CED2" w:sz="4"/>
              <w:bottom w:val="single" w:color="C9CED2" w:sz="4"/>
              <w:right w:val="single" w:color="C9CED2" w:sz="4"/>
            </w:tcBorders>
            <w:shd w:fill="EFE7DA" w:color="auto" w:val="clear"/>
            <w:tcMar>
              <w:top w:type="dxa" w:w="50"/>
              <w:left w:type="dxa" w:w="90"/>
              <w:bottom w:type="dxa" w:w="50"/>
              <w:right w:type="dxa" w:w="90"/>
            </w:tcMar>
          </w:tcPr>
          <w:p>
            <w:pPr>
              <w:spacing w:after="0"/>
            </w:pPr>
            <w:r>
              <w:rPr>
                <w:b/>
                <w:bCs/>
                <w:sz w:val="17"/>
                <w:szCs w:val="17"/>
              </w:rPr>
              <w:t xml:space="preserve">Divergence</w:t>
            </w:r>
          </w:p>
        </w:tc>
      </w:tr>
      <w:tr>
        <w:trPr>
          <w:cantSplit/>
        </w:trPr>
        <w:tc>
          <w:tcPr>
            <w:tcW w:type="dxa" w:w="2313"/>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bCs/>
                <w:color w:val="1E2A32"/>
                <w:sz w:val="17"/>
                <w:szCs w:val="17"/>
              </w:rPr>
              <w:t xml:space="preserve">Originality</w:t>
            </w:r>
          </w:p>
        </w:tc>
        <w:tc>
          <w:tcPr>
            <w:tcW w:type="dxa" w:w="7325"/>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Shows quiet post-class moments, not the category's sweat-and-intensity convention</w:t>
            </w:r>
          </w:p>
        </w:tc>
      </w:tr>
      <w:tr>
        <w:trPr>
          <w:cantSplit/>
        </w:trPr>
        <w:tc>
          <w:tcPr>
            <w:tcW w:type="dxa" w:w="2313"/>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bCs/>
                <w:color w:val="1E2A32"/>
                <w:sz w:val="17"/>
                <w:szCs w:val="17"/>
              </w:rPr>
              <w:t xml:space="preserve">Flexibility</w:t>
            </w:r>
          </w:p>
        </w:tc>
        <w:tc>
          <w:tcPr>
            <w:tcW w:type="dxa" w:w="7325"/>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One idea works as film, still, audio, outdoor and live session</w:t>
            </w:r>
          </w:p>
        </w:tc>
      </w:tr>
      <w:tr>
        <w:trPr>
          <w:cantSplit/>
        </w:trPr>
        <w:tc>
          <w:tcPr>
            <w:tcW w:type="dxa" w:w="2313"/>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bCs/>
                <w:color w:val="1E2A32"/>
                <w:sz w:val="17"/>
                <w:szCs w:val="17"/>
              </w:rPr>
              <w:t xml:space="preserve">Synthesis</w:t>
            </w:r>
          </w:p>
        </w:tc>
        <w:tc>
          <w:tcPr>
            <w:tcW w:type="dxa" w:w="7325"/>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Links two unrelated worlds, the reformer and the café, through one garment</w:t>
            </w:r>
          </w:p>
        </w:tc>
      </w:tr>
      <w:tr>
        <w:trPr>
          <w:cantSplit/>
        </w:trPr>
        <w:tc>
          <w:tcPr>
            <w:tcW w:type="dxa" w:w="2313"/>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bCs/>
                <w:color w:val="1E2A32"/>
                <w:sz w:val="17"/>
                <w:szCs w:val="17"/>
              </w:rPr>
              <w:t xml:space="preserve">Elaboration</w:t>
            </w:r>
          </w:p>
        </w:tc>
        <w:tc>
          <w:tcPr>
            <w:tcW w:type="dxa" w:w="7325"/>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Timestamps, sound cues and styling details reward repeat viewing</w:t>
            </w:r>
          </w:p>
        </w:tc>
      </w:tr>
      <w:tr>
        <w:trPr>
          <w:cantSplit/>
        </w:trPr>
        <w:tc>
          <w:tcPr>
            <w:tcW w:type="dxa" w:w="2313"/>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bCs/>
                <w:color w:val="1E2A32"/>
                <w:sz w:val="17"/>
                <w:szCs w:val="17"/>
              </w:rPr>
              <w:t xml:space="preserve">Artistic value</w:t>
            </w:r>
          </w:p>
        </w:tc>
        <w:tc>
          <w:tcPr>
            <w:tcW w:type="dxa" w:w="7325"/>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Natural light and restrained art direction suit a premium brand</w:t>
            </w:r>
          </w:p>
        </w:tc>
      </w:tr>
      <w:tr>
        <w:tc>
          <w:tcPr>
            <w:tcW w:type="dxa" w:w="9638"/>
            <w:gridSpan w:val="2"/>
            <w:tcBorders>
              <w:top w:val="single" w:color="C9CED2" w:sz="4"/>
              <w:left w:val="single" w:color="C9CED2" w:sz="4"/>
              <w:bottom w:val="single" w:color="C9CED2" w:sz="4"/>
              <w:right w:val="single" w:color="C9CED2" w:sz="4"/>
            </w:tcBorders>
            <w:shd w:fill="EFE7DA" w:color="auto" w:val="clear"/>
            <w:tcMar>
              <w:top w:type="dxa" w:w="50"/>
              <w:left w:type="dxa" w:w="90"/>
              <w:bottom w:type="dxa" w:w="50"/>
              <w:right w:type="dxa" w:w="90"/>
            </w:tcMar>
          </w:tcPr>
          <w:p>
            <w:pPr>
              <w:spacing w:after="0"/>
            </w:pPr>
            <w:r>
              <w:rPr>
                <w:b/>
                <w:bCs/>
                <w:sz w:val="17"/>
                <w:szCs w:val="17"/>
              </w:rPr>
              <w:t xml:space="preserve">Relevance</w:t>
            </w:r>
          </w:p>
        </w:tc>
      </w:tr>
      <w:tr>
        <w:trPr>
          <w:cantSplit/>
        </w:trPr>
        <w:tc>
          <w:tcPr>
            <w:tcW w:type="dxa" w:w="2313"/>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bCs/>
                <w:color w:val="1E2A32"/>
                <w:sz w:val="17"/>
                <w:szCs w:val="17"/>
              </w:rPr>
              <w:t xml:space="preserve">Meaningfulness</w:t>
            </w:r>
          </w:p>
        </w:tc>
        <w:tc>
          <w:tcPr>
            <w:tcW w:type="dxa" w:w="7325"/>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Mirrors Segment A's real routine and its "after class" problem</w:t>
            </w:r>
          </w:p>
        </w:tc>
      </w:tr>
      <w:tr>
        <w:trPr>
          <w:cantSplit/>
        </w:trPr>
        <w:tc>
          <w:tcPr>
            <w:tcW w:type="dxa" w:w="2313"/>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bCs/>
                <w:color w:val="1E2A32"/>
                <w:sz w:val="17"/>
                <w:szCs w:val="17"/>
              </w:rPr>
              <w:t xml:space="preserve">Brand appropriateness</w:t>
            </w:r>
          </w:p>
        </w:tc>
        <w:tc>
          <w:tcPr>
            <w:tcW w:type="dxa" w:w="7325"/>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Expresses Alo's studio-to-street design heritage</w:t>
            </w:r>
          </w:p>
        </w:tc>
      </w:tr>
      <w:tr>
        <w:trPr>
          <w:cantSplit/>
        </w:trPr>
        <w:tc>
          <w:tcPr>
            <w:tcW w:type="dxa" w:w="2313"/>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bCs/>
                <w:color w:val="1E2A32"/>
                <w:sz w:val="17"/>
                <w:szCs w:val="17"/>
              </w:rPr>
              <w:t xml:space="preserve">Persuasion</w:t>
            </w:r>
          </w:p>
        </w:tc>
        <w:tc>
          <w:tcPr>
            <w:tcW w:type="dxa" w:w="7325"/>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Turns a price objection into a cost-per-wear argument</w:t>
            </w:r>
          </w:p>
        </w:tc>
      </w:tr>
    </w:tbl>
    <w:p>
      <w:pPr>
        <w:spacing w:after="240" w:before="60"/>
      </w:pPr>
      <w:r>
        <w:rPr>
          <w:i/>
          <w:iCs/>
          <w:color w:val="5B6770"/>
          <w:sz w:val="19"/>
          <w:szCs w:val="19"/>
        </w:rPr>
        <w:t xml:space="preserve">Note. </w:t>
      </w:r>
      <w:r>
        <w:rPr>
          <w:color w:val="5B6770"/>
          <w:sz w:val="19"/>
          <w:szCs w:val="19"/>
        </w:rPr>
        <w:t xml:space="preserve">Dimensions from Smith et al. (2007) and Smith and Yang (2004).</w:t>
      </w:r>
    </w:p>
    <w:p>
      <w:r>
        <w:br w:type="page"/>
      </w:r>
    </w:p>
    <w:p>
      <w:pPr>
        <w:pStyle w:val="Heading1"/>
      </w:pPr>
      <w:r>
        <w:t xml:space="preserve">Appendix G: Creative Tactics by Channel</w:t>
      </w:r>
    </w:p>
    <w:p>
      <w:pPr>
        <w:keepNext/>
        <w:spacing w:after="40" w:before="200"/>
      </w:pPr>
      <w:r>
        <w:rPr>
          <w:b/>
          <w:bCs/>
        </w:rPr>
        <w:t xml:space="preserve">Figure G1</w:t>
      </w:r>
    </w:p>
    <w:p>
      <w:pPr>
        <w:keepNext/>
        <w:spacing w:after="100"/>
      </w:pPr>
      <w:r>
        <w:rPr>
          <w:i/>
          <w:iCs/>
        </w:rPr>
        <w:t xml:space="preserve">Creative Tactics Adapted by Channel Around One Idea</w:t>
      </w:r>
    </w:p>
    <w:p>
      <w:pPr>
        <w:keepNext/>
        <w:spacing w:after="80"/>
        <w:jc w:val="center"/>
      </w:pPr>
      <w:r>
        <w:drawing>
          <wp:inline distT="0" distB="0" distL="0" distR="0">
            <wp:extent cx="6035040" cy="2171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035040" cy="2171700"/>
                    </a:xfrm>
                    <a:prstGeom prst="rect">
                      <a:avLst/>
                    </a:prstGeom>
                  </pic:spPr>
                </pic:pic>
              </a:graphicData>
            </a:graphic>
          </wp:inline>
        </w:drawing>
      </w:r>
    </w:p>
    <w:p>
      <w:pPr>
        <w:spacing w:after="240"/>
      </w:pPr>
      <w:r>
        <w:rPr>
          <w:i/>
          <w:iCs/>
          <w:color w:val="5B6770"/>
          <w:sz w:val="19"/>
          <w:szCs w:val="19"/>
        </w:rPr>
        <w:t xml:space="preserve">Note. </w:t>
      </w:r>
      <w:r>
        <w:rPr>
          <w:color w:val="5B6770"/>
          <w:sz w:val="19"/>
          <w:szCs w:val="19"/>
        </w:rPr>
        <w:t xml:space="preserve">Agency creative framework.</w:t>
      </w:r>
    </w:p>
    <w:p>
      <w:r>
        <w:br w:type="page"/>
      </w:r>
    </w:p>
    <w:p>
      <w:pPr>
        <w:pStyle w:val="Heading1"/>
      </w:pPr>
      <w:r>
        <w:t xml:space="preserve">Appendix H: Draft Communication Materials</w:t>
      </w:r>
    </w:p>
    <w:p>
      <w:pPr>
        <w:spacing w:after="160" w:line="288"/>
      </w:pPr>
      <w:r>
        <w:t xml:space="preserve">Draft mock-ups for each media mix element. Colour blocks stand in for campaign photography, creator handles are placeholders, and all copy follows the mandatory requirements in Section 4.3. The outdoor panel appears as Figure 7.</w:t>
      </w:r>
    </w:p>
    <w:p>
      <w:pPr>
        <w:keepNext/>
        <w:spacing w:after="40" w:before="200"/>
      </w:pPr>
      <w:r>
        <w:rPr>
          <w:b/>
          <w:bCs/>
        </w:rPr>
        <w:t xml:space="preserve">Figure H1</w:t>
      </w:r>
    </w:p>
    <w:p>
      <w:pPr>
        <w:keepNext/>
        <w:spacing w:after="100"/>
      </w:pPr>
      <w:r>
        <w:rPr>
          <w:i/>
          <w:iCs/>
        </w:rPr>
        <w:t xml:space="preserve">Instagram Reel Storyboard (Paid Social, Hero Cut-Down)</w:t>
      </w:r>
    </w:p>
    <w:p>
      <w:pPr>
        <w:keepNext/>
        <w:spacing w:after="80"/>
        <w:jc w:val="center"/>
      </w:pPr>
      <w:r>
        <w:drawing>
          <wp:inline distT="0" distB="0" distL="0" distR="0">
            <wp:extent cx="6035040" cy="2981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035040" cy="2981325"/>
                    </a:xfrm>
                    <a:prstGeom prst="rect">
                      <a:avLst/>
                    </a:prstGeom>
                  </pic:spPr>
                </pic:pic>
              </a:graphicData>
            </a:graphic>
          </wp:inline>
        </w:drawing>
      </w:r>
    </w:p>
    <w:p>
      <w:pPr>
        <w:spacing w:after="240"/>
      </w:pPr>
      <w:r>
        <w:rPr>
          <w:i/>
          <w:iCs/>
          <w:color w:val="5B6770"/>
          <w:sz w:val="19"/>
          <w:szCs w:val="19"/>
        </w:rPr>
        <w:t xml:space="preserve">Note. </w:t>
      </w:r>
      <w:r>
        <w:rPr>
          <w:color w:val="5B6770"/>
          <w:sz w:val="19"/>
          <w:szCs w:val="19"/>
        </w:rPr>
        <w:t xml:space="preserve">Moment 1 of 3; Moments 2 and 3 follow the same structure.</w:t>
      </w:r>
    </w:p>
    <w:p>
      <w:pPr>
        <w:keepNext/>
        <w:spacing w:after="40" w:before="200"/>
      </w:pPr>
      <w:r>
        <w:rPr>
          <w:b/>
          <w:bCs/>
        </w:rPr>
        <w:t xml:space="preserve">Figure H2</w:t>
      </w:r>
    </w:p>
    <w:p>
      <w:pPr>
        <w:keepNext/>
        <w:spacing w:after="100"/>
      </w:pPr>
      <w:r>
        <w:rPr>
          <w:i/>
          <w:iCs/>
        </w:rPr>
        <w:t xml:space="preserve">TikTok Creator Post and Brief Excerpt (Creator Partnership)</w:t>
      </w:r>
    </w:p>
    <w:p>
      <w:pPr>
        <w:keepNext/>
        <w:spacing w:after="80"/>
        <w:jc w:val="center"/>
      </w:pPr>
      <w:r>
        <w:drawing>
          <wp:inline distT="0" distB="0" distL="0" distR="0">
            <wp:extent cx="6035040" cy="595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035040" cy="5953125"/>
                    </a:xfrm>
                    <a:prstGeom prst="rect">
                      <a:avLst/>
                    </a:prstGeom>
                  </pic:spPr>
                </pic:pic>
              </a:graphicData>
            </a:graphic>
          </wp:inline>
        </w:drawing>
      </w:r>
    </w:p>
    <w:p>
      <w:pPr>
        <w:spacing w:after="240"/>
      </w:pPr>
      <w:r>
        <w:rPr>
          <w:i/>
          <w:iCs/>
          <w:color w:val="5B6770"/>
          <w:sz w:val="19"/>
          <w:szCs w:val="19"/>
        </w:rPr>
        <w:t xml:space="preserve">Note. </w:t>
      </w:r>
      <w:r>
        <w:rPr>
          <w:color w:val="5B6770"/>
          <w:sz w:val="19"/>
          <w:szCs w:val="19"/>
        </w:rPr>
        <w:t xml:space="preserve">Placeholder handle; the lead creator's post follows the same brief.</w:t>
      </w:r>
    </w:p>
    <w:p>
      <w:pPr>
        <w:keepNext/>
        <w:spacing w:after="40" w:before="200"/>
      </w:pPr>
      <w:r>
        <w:rPr>
          <w:b/>
          <w:bCs/>
        </w:rPr>
        <w:t xml:space="preserve">Figure H3</w:t>
      </w:r>
    </w:p>
    <w:p>
      <w:pPr>
        <w:keepNext/>
        <w:spacing w:after="100"/>
      </w:pPr>
      <w:r>
        <w:rPr>
          <w:i/>
          <w:iCs/>
        </w:rPr>
        <w:t xml:space="preserve">Spotify 30-Second Audio Script With Companion Banner</w:t>
      </w:r>
    </w:p>
    <w:p>
      <w:pPr>
        <w:keepNext/>
        <w:spacing w:after="80"/>
        <w:jc w:val="center"/>
      </w:pPr>
      <w:r>
        <w:drawing>
          <wp:inline distT="0" distB="0" distL="0" distR="0">
            <wp:extent cx="6035040" cy="2619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035040" cy="2619375"/>
                    </a:xfrm>
                    <a:prstGeom prst="rect">
                      <a:avLst/>
                    </a:prstGeom>
                  </pic:spPr>
                </pic:pic>
              </a:graphicData>
            </a:graphic>
          </wp:inline>
        </w:drawing>
      </w:r>
    </w:p>
    <w:p>
      <w:pPr>
        <w:spacing w:after="240"/>
      </w:pPr>
      <w:r>
        <w:rPr>
          <w:i/>
          <w:iCs/>
          <w:color w:val="5B6770"/>
          <w:sz w:val="19"/>
          <w:szCs w:val="19"/>
        </w:rPr>
        <w:t xml:space="preserve">Note. </w:t>
      </w:r>
      <w:r>
        <w:rPr>
          <w:color w:val="5B6770"/>
          <w:sz w:val="19"/>
          <w:szCs w:val="19"/>
        </w:rPr>
        <w:t xml:space="preserve">Music requires sync licences for composition and recording.</w:t>
      </w:r>
    </w:p>
    <w:p>
      <w:pPr>
        <w:keepNext/>
        <w:spacing w:after="40" w:before="200"/>
      </w:pPr>
      <w:r>
        <w:rPr>
          <w:b/>
          <w:bCs/>
        </w:rPr>
        <w:t xml:space="preserve">Figure H4</w:t>
      </w:r>
    </w:p>
    <w:p>
      <w:pPr>
        <w:keepNext/>
        <w:spacing w:after="100"/>
      </w:pPr>
      <w:r>
        <w:rPr>
          <w:i/>
          <w:iCs/>
        </w:rPr>
        <w:t xml:space="preserve">Sanctuary Session Booking Email (Owned, Direct Marketing)</w:t>
      </w:r>
    </w:p>
    <w:p>
      <w:pPr>
        <w:keepNext/>
        <w:spacing w:after="80"/>
        <w:jc w:val="center"/>
      </w:pPr>
      <w:r>
        <w:drawing>
          <wp:inline distT="0" distB="0" distL="0" distR="0">
            <wp:extent cx="6035040" cy="7553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035040" cy="7553325"/>
                    </a:xfrm>
                    <a:prstGeom prst="rect">
                      <a:avLst/>
                    </a:prstGeom>
                  </pic:spPr>
                </pic:pic>
              </a:graphicData>
            </a:graphic>
          </wp:inline>
        </w:drawing>
      </w:r>
    </w:p>
    <w:p>
      <w:pPr>
        <w:spacing w:after="240"/>
      </w:pPr>
      <w:r>
        <w:rPr>
          <w:i/>
          <w:iCs/>
          <w:color w:val="5B6770"/>
          <w:sz w:val="19"/>
          <w:szCs w:val="19"/>
        </w:rPr>
        <w:t xml:space="preserve">Note. </w:t>
      </w:r>
      <w:r>
        <w:rPr>
          <w:color w:val="5B6770"/>
          <w:sz w:val="19"/>
          <w:szCs w:val="19"/>
        </w:rPr>
        <w:t xml:space="preserve">Sent only to subscribers who opted in; includes unsubscribe link.</w:t>
      </w:r>
    </w:p>
    <w:p>
      <w:pPr>
        <w:keepNext/>
        <w:spacing w:after="40" w:before="200"/>
      </w:pPr>
      <w:r>
        <w:rPr>
          <w:b/>
          <w:bCs/>
        </w:rPr>
        <w:t xml:space="preserve">Figure H5</w:t>
      </w:r>
    </w:p>
    <w:p>
      <w:pPr>
        <w:keepNext/>
        <w:spacing w:after="100"/>
      </w:pPr>
      <w:r>
        <w:rPr>
          <w:i/>
          <w:iCs/>
        </w:rPr>
        <w:t xml:space="preserve">Media Alert for the Bondi-to-Bronte Sanctuary Walks (PR)</w:t>
      </w:r>
    </w:p>
    <w:p>
      <w:pPr>
        <w:keepNext/>
        <w:spacing w:after="80"/>
        <w:jc w:val="center"/>
      </w:pPr>
      <w:r>
        <w:drawing>
          <wp:inline distT="0" distB="0" distL="0" distR="0">
            <wp:extent cx="6035040" cy="460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6035040" cy="4600575"/>
                    </a:xfrm>
                    <a:prstGeom prst="rect">
                      <a:avLst/>
                    </a:prstGeom>
                  </pic:spPr>
                </pic:pic>
              </a:graphicData>
            </a:graphic>
          </wp:inline>
        </w:drawing>
      </w:r>
    </w:p>
    <w:p>
      <w:pPr>
        <w:spacing w:after="240"/>
      </w:pPr>
      <w:r>
        <w:rPr>
          <w:i/>
          <w:iCs/>
          <w:color w:val="5B6770"/>
          <w:sz w:val="19"/>
          <w:szCs w:val="19"/>
        </w:rPr>
        <w:t xml:space="preserve">Note. </w:t>
      </w:r>
      <w:r>
        <w:rPr>
          <w:color w:val="5B6770"/>
          <w:sz w:val="19"/>
          <w:szCs w:val="19"/>
        </w:rPr>
        <w:t xml:space="preserve">Spokesperson quote to be approved by Alo Australia.</w:t>
      </w:r>
    </w:p>
    <w:p>
      <w:pPr>
        <w:keepNext/>
        <w:spacing w:after="40" w:before="200"/>
      </w:pPr>
      <w:r>
        <w:rPr>
          <w:b/>
          <w:bCs/>
        </w:rPr>
        <w:t xml:space="preserve">Figure H6</w:t>
      </w:r>
    </w:p>
    <w:p>
      <w:pPr>
        <w:keepNext/>
        <w:spacing w:after="100"/>
      </w:pPr>
      <w:r>
        <w:rPr>
          <w:i/>
          <w:iCs/>
        </w:rPr>
        <w:t xml:space="preserve">Cost-per-Wear Carousel (Owned Instagram, Worth It Pillar)</w:t>
      </w:r>
    </w:p>
    <w:p>
      <w:pPr>
        <w:keepNext/>
        <w:spacing w:after="80"/>
        <w:jc w:val="center"/>
      </w:pPr>
      <w:r>
        <w:drawing>
          <wp:inline distT="0" distB="0" distL="0" distR="0">
            <wp:extent cx="6035040" cy="2305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6035040" cy="2305050"/>
                    </a:xfrm>
                    <a:prstGeom prst="rect">
                      <a:avLst/>
                    </a:prstGeom>
                  </pic:spPr>
                </pic:pic>
              </a:graphicData>
            </a:graphic>
          </wp:inline>
        </w:drawing>
      </w:r>
    </w:p>
    <w:p>
      <w:pPr>
        <w:spacing w:after="240"/>
      </w:pPr>
      <w:r>
        <w:rPr>
          <w:i/>
          <w:iCs/>
          <w:color w:val="5B6770"/>
          <w:sz w:val="19"/>
          <w:szCs w:val="19"/>
        </w:rPr>
        <w:t xml:space="preserve">Note. </w:t>
      </w:r>
      <w:r>
        <w:rPr>
          <w:color w:val="5B6770"/>
          <w:sz w:val="19"/>
          <w:szCs w:val="19"/>
        </w:rPr>
        <w:t xml:space="preserve">Cost per wear is an illustrative calculation, labelled as such.</w:t>
      </w:r>
    </w:p>
    <w:p>
      <w:r>
        <w:br w:type="page"/>
      </w:r>
    </w:p>
    <w:p>
      <w:pPr>
        <w:pStyle w:val="Heading1"/>
      </w:pPr>
      <w:r>
        <w:t xml:space="preserve">Appendix I: Disclosure of AI Use</w:t>
      </w:r>
    </w:p>
    <w:p>
      <w:pPr>
        <w:spacing w:after="160" w:line="288"/>
      </w:pPr>
      <w:r>
        <w:rPr>
          <w:b/>
          <w:bCs/>
        </w:rPr>
        <w:t xml:space="preserve">Tool:</w:t>
      </w:r>
      <w:r>
        <w:t xml:space="preserve"> Claude (Anthropic), used through Claude Code in October 2026. </w:t>
      </w:r>
      <w:r>
        <w:rPr>
          <w:b/>
          <w:bCs/>
        </w:rPr>
        <w:t xml:space="preserve">Used for:</w:t>
      </w:r>
      <w:r>
        <w:t xml:space="preserve"> restructuring and editing our draft against the rubric, suggesting and applying theory, checking facts and sources, formatting APA references, and creating the diagrams in Figures 1–6, 8, B1, E1 and G1 from our specifications, and producing the draft mock-ups in Figure 7 and Appendix H as designed layouts (no image-generation model was used). All AI output was reviewed, edited and verified by the group, which remains responsible for the content.</w:t>
      </w:r>
    </w:p>
    <w:p>
      <w:pPr>
        <w:pStyle w:val="Heading2"/>
      </w:pPr>
      <w:r>
        <w:t xml:space="preserve">I1. Prompts Used (Verbatim)</w:t>
      </w:r>
    </w:p>
    <w:p>
      <w:pPr>
        <w:pStyle w:val="ListParagraph"/>
        <w:numPr>
          <w:ilvl w:val="0"/>
          <w:numId w:val="3"/>
        </w:numPr>
        <w:spacing w:after="100" w:line="288"/>
      </w:pPr>
      <w:r>
        <w:t xml:space="preserve">"If this is my current essay and those are the lecture slides and transcripts and this is the brief [assessment brief pasted] And this is the rubric improve my essay but keep the main ideas and strategy but basically just improve how it is written and include lots of theories and models and do not just describe the models and theories really show how they apply in this situation. Be critical. Also include visuals of the models and theories being applied. Everything needs to be in APA 7th referencing" [Attached: our draft essay and notes, the marking rubric (PDF) and the Google Trends screenshot in Appendix A.]</w:t>
      </w:r>
    </w:p>
    <w:p>
      <w:pPr>
        <w:pStyle w:val="ListParagraph"/>
        <w:numPr>
          <w:ilvl w:val="0"/>
          <w:numId w:val="3"/>
        </w:numPr>
        <w:spacing w:after="100" w:line="288"/>
      </w:pPr>
      <w:r>
        <w:t xml:space="preserve">"It can only be 3.5K +- 10% and do all the theories and models come from lecture slides/transcripts"</w:t>
      </w:r>
    </w:p>
    <w:p>
      <w:pPr>
        <w:pStyle w:val="ListParagraph"/>
        <w:numPr>
          <w:ilvl w:val="0"/>
          <w:numId w:val="3"/>
        </w:numPr>
        <w:spacing w:after="100" w:line="288"/>
      </w:pPr>
      <w:r>
        <w:t xml:space="preserve">"Sorry I forgot to commit changes in teh repository. They are committed now so you should be able to see all the slides and transcripts. Tell me if you cannot. If you can cut down to the 3.5k word limit ish and use models and theories from the lecture slides be critical and really show how it is an IMC and how they all work together to deliver a single unified message"</w:t>
      </w:r>
    </w:p>
    <w:p>
      <w:pPr>
        <w:pStyle w:val="ListParagraph"/>
        <w:numPr>
          <w:ilvl w:val="0"/>
          <w:numId w:val="3"/>
        </w:numPr>
        <w:spacing w:after="100" w:line="288"/>
      </w:pPr>
      <w:r>
        <w:t xml:space="preserve">"These are the lecture slides from which you need to choose models and theories from. Keep it to 3.5K words +-10%. Make it really critical and do not just apply the models, really show how they apply and how the IMC delivers 1 unified message across all platforms. Remember the visual application of the models and theories and needs to be APA 7th" [Attached: MKTG3112 lecture slides, Weeks 1–3 and 5–13.]</w:t>
      </w:r>
    </w:p>
    <w:p>
      <w:pPr>
        <w:pStyle w:val="ListParagraph"/>
        <w:numPr>
          <w:ilvl w:val="0"/>
          <w:numId w:val="3"/>
        </w:numPr>
        <w:spacing w:after="100" w:line="288"/>
      </w:pPr>
      <w:r>
        <w:t xml:space="preserve">"Yes tables and figures do count"</w:t>
      </w:r>
    </w:p>
    <w:p>
      <w:pPr>
        <w:pStyle w:val="ListParagraph"/>
        <w:numPr>
          <w:ilvl w:val="0"/>
          <w:numId w:val="3"/>
        </w:numPr>
        <w:spacing w:after="100" w:line="288"/>
      </w:pPr>
      <w:r>
        <w:t xml:space="preserve">"Are all the tables and figures you removed now in the appendix"</w:t>
      </w:r>
    </w:p>
    <w:p>
      <w:pPr>
        <w:pStyle w:val="ListParagraph"/>
        <w:numPr>
          <w:ilvl w:val="0"/>
          <w:numId w:val="3"/>
        </w:numPr>
        <w:spacing w:after="100" w:line="288"/>
      </w:pPr>
      <w:r>
        <w:t xml:space="preserve">"Yes put it in the appendix as tehy do not count. But still obvs make sure the main message is still in the body text"</w:t>
      </w:r>
    </w:p>
    <w:p>
      <w:pPr>
        <w:pStyle w:val="ListParagraph"/>
        <w:numPr>
          <w:ilvl w:val="0"/>
          <w:numId w:val="3"/>
        </w:numPr>
        <w:spacing w:after="100" w:line="288"/>
      </w:pPr>
      <w:r>
        <w:t xml:space="preserve">"Does that word count incldue the words in the figures"</w:t>
      </w:r>
    </w:p>
    <w:p>
      <w:pPr>
        <w:pStyle w:val="ListParagraph"/>
        <w:numPr>
          <w:ilvl w:val="0"/>
          <w:numId w:val="3"/>
        </w:numPr>
        <w:spacing w:after="100" w:line="288"/>
      </w:pPr>
      <w:r>
        <w:t xml:space="preserve">"It does count so maybe for the ones that are not as important and which are not applying models / theories move those to the appendix but keep the core idea message in the text. Also Bryant is our lecturer so do not quote him, if you use things he said find a reputable secondary source that aligns with what we said."</w:t>
      </w:r>
    </w:p>
    <w:p>
      <w:pPr>
        <w:pStyle w:val="ListParagraph"/>
        <w:numPr>
          <w:ilvl w:val="0"/>
          <w:numId w:val="3"/>
        </w:numPr>
        <w:spacing w:after="100" w:line="288"/>
      </w:pPr>
      <w:r>
        <w:t xml:space="preserve">"Ok now critically evaluate it against the rubric"</w:t>
      </w:r>
    </w:p>
    <w:p>
      <w:pPr>
        <w:pStyle w:val="ListParagraph"/>
        <w:numPr>
          <w:ilvl w:val="0"/>
          <w:numId w:val="3"/>
        </w:numPr>
        <w:spacing w:after="100" w:line="288"/>
      </w:pPr>
      <w:r>
        <w:t xml:space="preserve">"We have our own mock ups but do everything else"</w:t>
      </w:r>
    </w:p>
    <w:p>
      <w:pPr>
        <w:pStyle w:val="ListParagraph"/>
        <w:numPr>
          <w:ilvl w:val="0"/>
          <w:numId w:val="3"/>
        </w:numPr>
        <w:spacing w:after="100" w:line="288"/>
      </w:pPr>
      <w:r>
        <w:t xml:space="preserve">"Make it the exact same but you do the mock ups now"</w:t>
      </w:r>
    </w:p>
    <w:p>
      <w:pPr>
        <w:pStyle w:val="ListParagraph"/>
        <w:numPr>
          <w:ilvl w:val="0"/>
          <w:numId w:val="3"/>
        </w:numPr>
        <w:spacing w:after="100" w:line="288"/>
      </w:pPr>
      <w:r>
        <w:t xml:space="preserve">"If that is our report adn that is the feedback we got from our presentation. Is it all encorporated?" [Attached: our edited copy of this report and our tutor's presentation feedback.]</w:t>
      </w:r>
    </w:p>
    <w:p>
      <w:pPr>
        <w:pStyle w:val="ListParagraph"/>
        <w:numPr>
          <w:ilvl w:val="0"/>
          <w:numId w:val="3"/>
        </w:numPr>
        <w:spacing w:after="100" w:line="288"/>
      </w:pPr>
      <w:r>
        <w:t xml:space="preserve">"Yes"</w:t>
      </w:r>
    </w:p>
    <w:p>
      <w:pPr>
        <w:spacing w:after="60"/>
      </w:pPr>
    </w:p>
    <w:p>
      <w:pPr>
        <w:pStyle w:val="Heading2"/>
      </w:pPr>
      <w:r>
        <w:t xml:space="preserve">I2. Critical Reflection</w:t>
      </w:r>
    </w:p>
    <w:p>
      <w:pPr>
        <w:spacing w:after="160" w:line="288"/>
      </w:pPr>
      <w:r>
        <w:rPr>
          <w:b/>
          <w:bCs/>
        </w:rPr>
        <w:t xml:space="preserve">Strengths.</w:t>
      </w:r>
      <w:r>
        <w:t xml:space="preserve"> The tool was effective at restructuring our draft against each rubric criterion, applying theory consistently and building diagrams that show models applied to Alo rather than described. It also caught factual errors in our draft, such as the location of Alo's second store.</w:t>
      </w:r>
    </w:p>
    <w:p>
      <w:pPr>
        <w:spacing w:after="160" w:line="288"/>
      </w:pPr>
      <w:r>
        <w:rPr>
          <w:b/>
          <w:bCs/>
        </w:rPr>
        <w:t xml:space="preserve">Accuracy and referencing.</w:t>
      </w:r>
      <w:r>
        <w:t xml:space="preserve"> Early outputs cited our lecture slides directly, left placeholder references and relied on some US data. We replaced lecture citations with published sources, checked each reference, removed claims we could not verify, and flagged US evidence as such. AI output cannot be treated as a source in itself.</w:t>
      </w:r>
    </w:p>
    <w:p>
      <w:pPr>
        <w:spacing w:after="160" w:line="288"/>
      </w:pPr>
      <w:r>
        <w:rPr>
          <w:b/>
          <w:bCs/>
        </w:rPr>
        <w:t xml:space="preserve">Authenticity and creativity.</w:t>
      </w:r>
      <w:r>
        <w:t xml:space="preserve"> AI-edited prose tends towards polished, generic phrasing, and the tool converged on established frameworks. The strategy, insight and "Mat to Moment" concept came from our group; the tool reorganised and sharpened them, then translated them into the draft mock-ups. Those mock-ups are competent but safe: they follow category conventions for Reels, emails and posters rather than breaking them.</w:t>
      </w:r>
    </w:p>
    <w:p>
      <w:pPr>
        <w:spacing w:after="160" w:line="288"/>
      </w:pPr>
      <w:r>
        <w:rPr>
          <w:b/>
          <w:bCs/>
        </w:rPr>
        <w:t xml:space="preserve">Audience relevance and cultural appropriateness.</w:t>
      </w:r>
      <w:r>
        <w:t xml:space="preserve"> The tool has no lived knowledge of Sydney studio culture. Local details, such as the Bondi-to-Bronte walk and our choice of lead creator, came from the group and were checked against local sources. We kept the body-image guardrails in Section 4.2 because AI-generated fitness imagery tends to idealise bodies.</w:t>
      </w:r>
    </w:p>
    <w:p>
      <w:pPr>
        <w:spacing w:after="160" w:line="288"/>
      </w:pPr>
      <w:r>
        <w:rPr>
          <w:b/>
          <w:bCs/>
        </w:rPr>
        <w:t xml:space="preserve">Brand fit.</w:t>
      </w:r>
      <w:r>
        <w:t xml:space="preserve"> The mock-ups follow Alo's neutral palette and restrained typography, but the wordmark is approximated in a standard typeface and all photography is placeholder. Final assets need Alo's brand guidelines, a real Sydney shoot and creator approval. We used a placeholder creator handle rather than imitate a real person, because AI cannot authentically represent a creator's voice.</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5B6770"/>
        <w:sz w:val="17"/>
        <w:szCs w:val="17"/>
      </w:rPr>
      <w:t xml:space="preserve">Alo · Mat to Moment · </w:t>
    </w:r>
    <w:r>
      <w:rPr>
        <w:color w:val="5B6770"/>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E2A3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60"/>
      <w:outlineLvl w:val="0"/>
    </w:pPr>
    <w:rPr>
      <w:rFonts w:ascii="Calibri" w:cs="Calibri" w:eastAsia="Calibri" w:hAnsi="Calibri"/>
      <w:b/>
      <w:bCs/>
      <w:color w:val="1E2A32"/>
      <w:sz w:val="32"/>
      <w:szCs w:val="32"/>
    </w:rPr>
  </w:style>
  <w:style w:type="paragraph" w:styleId="Heading2">
    <w:name w:val="Heading 2"/>
    <w:basedOn w:val="Normal"/>
    <w:next w:val="Normal"/>
    <w:qFormat/>
    <w:pPr>
      <w:keepNext/>
      <w:spacing w:after="120" w:before="260"/>
      <w:outlineLvl w:val="1"/>
    </w:pPr>
    <w:rPr>
      <w:rFonts w:ascii="Calibri" w:cs="Calibri" w:eastAsia="Calibri" w:hAnsi="Calibri"/>
      <w:b/>
      <w:bCs/>
      <w:color w:val="8C6D3F"/>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2d4aeb673a16ab82800d5971931bd7c1c85d5087.png"/><Relationship Id="rId9" Type="http://schemas.openxmlformats.org/officeDocument/2006/relationships/image" Target="media/d8c9c399f0e2f9cf2490fd8c5f4573851d743518.png"/><Relationship Id="rId10" Type="http://schemas.openxmlformats.org/officeDocument/2006/relationships/image" Target="media/7a96742d818e5fba57cb6e0223a89c34e1624f45.png"/><Relationship Id="rId11" Type="http://schemas.openxmlformats.org/officeDocument/2006/relationships/image" Target="media/97d0647f285406dc1ab2e52eea1c42856c1becfa.png"/><Relationship Id="rId12" Type="http://schemas.openxmlformats.org/officeDocument/2006/relationships/image" Target="media/4d497f5fdf89ef23dff42cfd43fe8060370a8cbb.png"/><Relationship Id="rId13" Type="http://schemas.openxmlformats.org/officeDocument/2006/relationships/image" Target="media/247893be9be15fc12f4a3291cba91f4841e25af3.png"/><Relationship Id="rId14" Type="http://schemas.openxmlformats.org/officeDocument/2006/relationships/image" Target="media/8afbc77cd464b4399fbfdf69a597e41a176881bf.png"/><Relationship Id="rId15" Type="http://schemas.openxmlformats.org/officeDocument/2006/relationships/image" Target="media/9db1a48376bf9904873f9a9dd61fbbf68831376d.png"/><Relationship Id="rId16" Type="http://schemas.openxmlformats.org/officeDocument/2006/relationships/image" Target="media/6122e472b4c8a2d796f4cda4ee950f2da8fc6e53.png"/><Relationship Id="rId17" Type="http://schemas.openxmlformats.org/officeDocument/2006/relationships/image" Target="media/aa49d250bf5e37ea8617edda0a7d42f44b60f48c.png"/><Relationship Id="rId18" Type="http://schemas.openxmlformats.org/officeDocument/2006/relationships/image" Target="media/8400321a5b1f402763dcc1205b98ca74ed8c893a.png"/><Relationship Id="rId19" Type="http://schemas.openxmlformats.org/officeDocument/2006/relationships/image" Target="media/5d332805e50cc95923ec6202bcce8c9e83d5d468.png"/><Relationship Id="rId20" Type="http://schemas.openxmlformats.org/officeDocument/2006/relationships/image" Target="media/64f4ca810b108cdf035873f7000b6c0e2acdbbd7.png"/><Relationship Id="rId21" Type="http://schemas.openxmlformats.org/officeDocument/2006/relationships/image" Target="media/d29aaa948d7a384b1617465638c7230950eaf501.png"/><Relationship Id="rId22" Type="http://schemas.openxmlformats.org/officeDocument/2006/relationships/image" Target="media/c0a5327dcc82bb66dd01f9e374099a4494d308cd.png"/><Relationship Id="rId23" Type="http://schemas.openxmlformats.org/officeDocument/2006/relationships/image" Target="media/e176c3f41b1bc26063f8ebad8430e1331433e49b.png"/><Relationship Id="rId24" Type="http://schemas.openxmlformats.org/officeDocument/2006/relationships/image" Target="media/62e5f9f3dab333565dd6423ae98a2a514dc8a1ec.png"/><Relationship Id="rId25" Type="http://schemas.openxmlformats.org/officeDocument/2006/relationships/image" Target="media/9179a776688bf2af9e4db660b9d464e8779b08b7.png"/><Relationship Id="rId2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Alo in Australia: Mat to Moment IMC Brief</dc:title>
  <dc:creator>MKTG3112 Group</dc:creator>
  <cp:lastModifiedBy>Un-named</cp:lastModifiedBy>
  <cp:revision>1</cp:revision>
  <dcterms:created xsi:type="dcterms:W3CDTF">2026-10-30T00:44:39.008Z</dcterms:created>
  <dcterms:modified xsi:type="dcterms:W3CDTF">2026-10-30T00:44:39.016Z</dcterms:modified>
</cp:coreProperties>
</file>

<file path=docProps/custom.xml><?xml version="1.0" encoding="utf-8"?>
<Properties xmlns="http://schemas.openxmlformats.org/officeDocument/2006/custom-properties" xmlns:vt="http://schemas.openxmlformats.org/officeDocument/2006/docPropsVTypes"/>
</file>