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60" w:line="288"/>
      </w:pPr>
      <w:r>
        <w:t xml:space="preserve">Alo opened in Sydney in 2026 to strong curiosity that has since faded (Appendix A). Sydney women know the name but do not yet see Alo as worth its price, as a brand for them, or as easy to find. </w:t>
      </w:r>
      <w:r>
        <w:rPr>
          <w:b/>
          <w:bCs/>
        </w:rPr>
        <w:t xml:space="preserve">Mat to Moment</w:t>
      </w:r>
      <w:r>
        <w:t xml:space="preserve"> is a 12-week, A$250,000 integrated campaign for style-conscious women aged 22–34. It delivers one message, that one Alo set is made for the whole Sydney day, through every touchpoint, from Bondi Pilates studios to CBD bus shelters.</w:t>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with around 170 stores worldwide (SGB Media, 2026) and estimated 2025 sales near US$2 billion (Modaes, 2026). Its owners are reportedly weighing an IPO or sale (Rydzek, 2026), so performance in new markets is under scrutiny. Alo opened at Chatswood Chase, opposite Lululemon, in May 2026 (Inside Retail, 2026), and at The Galeries in the CBD in September, with Bondi Junction planned (Concrete Playground, 2026). Australian leggings and bras cost roughly A$100–200 (Concrete Playground, 2026). Its premium, fashion-led image was built on social media and celebrity visibility (Inside Retail, 2026). Brand equity depends on awareness and favourable associations (Keller, 1993), and IMC is what converts brand identity into local equity (Keller, 2001). In Sydney, that conversion has barely begun.</w:t>
      </w:r>
    </w:p>
    <w:p>
      <w:pPr>
        <w:pStyle w:val="Heading2"/>
      </w:pPr>
      <w:r>
        <w:t xml:space="preserve">1.2 Competitor Analysis</w:t>
      </w:r>
    </w:p>
    <w:p>
      <w:pPr>
        <w:keepNext/>
        <w:spacing w:after="40" w:before="200"/>
      </w:pPr>
      <w:r>
        <w:rPr>
          <w:b/>
          <w:bCs/>
        </w:rPr>
        <w:t xml:space="preserve">Table 1</w:t>
      </w:r>
    </w:p>
    <w:p>
      <w:pPr>
        <w:keepNext/>
        <w:spacing w:after="100"/>
      </w:pPr>
      <w:r>
        <w:rPr>
          <w:i/>
          <w:iCs/>
        </w:rPr>
        <w:t xml:space="preserve">Competitor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3084"/>
        <w:gridCol w:w="1735"/>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Lululemon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Community model; fabric technology (Salpini, 2025b); ~3× Alo's search interest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"Too predictable" (Salpini, 2025b); losing share to Alo (Salpini, 2025a)</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Lorna Jane (primary)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loyalty; profit doubled (Chadwick, 2025a); well known (Russh,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A$5m penalty for false claims (Australian Competition and Consumer Commission [ACCC], 2021)</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P.E Nation, Aje Athletica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Fashion-led local credentials (Chadwick, 2025b)</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Activewear one of several lines</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 (secondary)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(OpenPR, 2026); Adidas reputation rising (Danziger,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Performance-led, not premium lifestyle</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 (secondary)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Cheaper (Lanoue, 2025; Pedestrian, 2026)</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Not premium</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r>
    </w:tbl>
    <w:p>
      <w:pPr>
        <w:spacing w:after="160"/>
      </w:pPr>
    </w:p>
    <w:p>
      <w:pPr>
        <w:spacing w:after="160" w:line="288"/>
      </w:pPr>
      <w:r>
        <w:t xml:space="preserve">Lululemon's search interest is almost three times Alo's (Appendix A), and larger brands enjoy more buyers and more loyalty (Sharp, 2010). Alo therefore cannot argue loyalists away; it must become easier to think of and to find. Competitor weaknesses cluster around dated, functional design or mid-market focus, which leaves premium, design-led, all-day wear unclaimed (see the positioning map in Appendix E). Fashion alone is not defensible, because P.E Nation sits nearby with local credentials. Fashion plus proven studio performance, made locally relevant, is. With young consumers under financial pressure (Deloitte, 2026), cheaper brands such as Gymshark become the fallback whenever Alo's premium is not justified. Adidas's rise through community-led marketing (Danziger, 2026) confirms that community works in this category, but also that the space is crowded; Alo needs a community with a distinct purpose.</w:t>
      </w:r>
    </w:p>
    <w:p>
      <w:pPr>
        <w:pStyle w:val="Heading2"/>
      </w:pPr>
      <w:r>
        <w:t xml:space="preserve">1.3 Target Audience</w:t>
      </w:r>
    </w:p>
    <w:p>
      <w:pPr>
        <w:spacing w:after="160" w:line="288"/>
      </w:pPr>
      <w:r>
        <w:t xml:space="preserve">Of three segments (Smith, 1956; see Appendix B), we target </w:t>
      </w:r>
      <w:r>
        <w:rPr>
          <w:b/>
          <w:bCs/>
        </w:rPr>
        <w:t xml:space="preserve">style-conscious women aged 22–34 in Greater Sydney</w:t>
      </w:r>
      <w:r>
        <w:t xml:space="preserve"> who do Pilates, yoga or gym and use Instagram and TikTok daily. Affluent women aged 35–50 are loyal to Lululemon and Lorna Jane and hard to switch, and men are a small part of Alo's range, so both are reached only as spillover. The chosen segment buys activewear as identity: possessions extend the self (Belk, 1988), and Alo turns a healthy lifestyle into a visible identity (36Kr, 2026). It spans older Gen Z, who prize authenticity (Francis &amp; Hoefel, 2018), and younger Millennials, so the campaign pairs unpolished creator content with bookable experiences and audio. Social dynamics matter as well: consumers build self-brand connections through the brands their reference groups use (Escalas &amp; Bettman, 2005), and the studio class is this segment's most visible reference group, which is where the campaign places its sources. Critically, more than half of Gen Z and Millennials have delayed major decisions because of financial pressure (Deloitte, 2026). The audience most drawn to Alo is also the most price-stretched, which is why price justification ranks first below and why value is framed as longevity rather than discount.</w:t>
      </w:r>
    </w:p>
    <w:p>
      <w:pPr>
        <w:pStyle w:val="Heading2"/>
      </w:pPr>
      <w:r>
        <w:t xml:space="preserve">1.4 Communication Challenges (Prioritised)</w:t>
      </w:r>
    </w:p>
    <w:p>
      <w:pPr>
        <w:spacing w:after="160" w:line="288"/>
      </w:pPr>
      <w:r>
        <w:t xml:space="preserve">Challenges are ranked by how directly each blocks a store visit.</w:t>
      </w:r>
    </w:p>
    <w:p>
      <w:pPr>
        <w:pStyle w:val="ListParagraph"/>
        <w:numPr>
          <w:ilvl w:val="0"/>
          <w:numId w:val="2"/>
        </w:numPr>
        <w:spacing w:after="100" w:line="288"/>
      </w:pPr>
      <w:r>
        <w:rPr>
          <w:b/>
          <w:bCs/>
        </w:rPr>
        <w:t xml:space="preserve">Justifying the premium price</w:t>
      </w:r>
      <w:r>
        <w:t xml:space="preserve">: luxury needs meaning, not features (Kapferer &amp; Bastien, 2009).</w:t>
      </w:r>
    </w:p>
    <w:p>
      <w:pPr>
        <w:pStyle w:val="ListParagraph"/>
        <w:numPr>
          <w:ilvl w:val="0"/>
          <w:numId w:val="2"/>
        </w:numPr>
        <w:spacing w:after="100" w:line="288"/>
      </w:pPr>
      <w:r>
        <w:rPr>
          <w:b/>
          <w:bCs/>
        </w:rPr>
        <w:t xml:space="preserve">Sustaining awareness</w:t>
      </w:r>
      <w:r>
        <w:t xml:space="preserve">: interest has fallen to pre-opening levels, and The Galeries opening produced no lift (Appendix A), so novelty alone will not sustain the brand.</w:t>
      </w:r>
    </w:p>
    <w:p>
      <w:pPr>
        <w:pStyle w:val="ListParagraph"/>
        <w:numPr>
          <w:ilvl w:val="0"/>
          <w:numId w:val="2"/>
        </w:numPr>
        <w:spacing w:after="100" w:line="288"/>
      </w:pPr>
      <w:r>
        <w:rPr>
          <w:b/>
          <w:bCs/>
        </w:rPr>
        <w:t xml:space="preserve">Limited reach</w:t>
      </w:r>
      <w:r>
        <w:t xml:space="preserve">: two stores cannot cover Greater Sydney, so media must bring people to them.</w:t>
      </w:r>
    </w:p>
    <w:p>
      <w:pPr>
        <w:pStyle w:val="ListParagraph"/>
        <w:numPr>
          <w:ilvl w:val="0"/>
          <w:numId w:val="2"/>
        </w:numPr>
        <w:spacing w:after="100" w:line="288"/>
      </w:pPr>
      <w:r>
        <w:rPr>
          <w:b/>
          <w:bCs/>
        </w:rPr>
        <w:t xml:space="preserve">Standing apart from Lululemon</w:t>
      </w:r>
      <w:r>
        <w:t xml:space="preserve">, which already owns "community" (Salpini, 2025b); a generic community message would strengthen the leader.</w:t>
      </w:r>
    </w:p>
    <w:p>
      <w:pPr>
        <w:pStyle w:val="ListParagraph"/>
        <w:numPr>
          <w:ilvl w:val="0"/>
          <w:numId w:val="2"/>
        </w:numPr>
        <w:spacing w:after="100" w:line="288"/>
      </w:pPr>
      <w:r>
        <w:rPr>
          <w:b/>
          <w:bCs/>
        </w:rPr>
        <w:t xml:space="preserve">Feeling imported</w:t>
      </w:r>
      <w:r>
        <w:t xml:space="preserve">: Alo's fame rests on Los Angeles celebrity (Inside Retail, 2026), which Section 3.1 shows Sydney decodes as distance.</w:t>
      </w:r>
    </w:p>
    <w:p>
      <w:pPr>
        <w:spacing w:after="60"/>
      </w:pPr>
    </w:p>
    <w:p>
      <w:pPr>
        <w:pStyle w:val="Heading1"/>
      </w:pPr>
      <w:r>
        <w:t xml:space="preserve">2. Communication Objectives</w:t>
      </w:r>
    </w:p>
    <w:p>
      <w:pPr>
        <w:keepNext/>
        <w:spacing w:after="40" w:before="200"/>
      </w:pPr>
      <w:r>
        <w:rPr>
          <w:b/>
          <w:bCs/>
        </w:rPr>
        <w:t xml:space="preserve">Table 2</w:t>
      </w:r>
    </w:p>
    <w:p>
      <w:pPr>
        <w:keepNext/>
        <w:spacing w:after="100"/>
      </w:pPr>
      <w:r>
        <w:rPr>
          <w:i/>
          <w:iCs/>
        </w:rPr>
        <w:t xml:space="preserve">DAGMAR Objectives: Segment A, Greater Sydney,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1157"/>
        <w:gridCol w:w="4819"/>
        <w:gridCol w:w="964"/>
        <w:gridCol w:w="963"/>
      </w:tblGrid>
      <w:tr>
        <w:trPr>
          <w:tblHeader/>
        </w:trPr>
        <w:tc>
          <w:tcPr>
            <w:tcW w:type="dxa" w:w="77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481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"Alo is worth paying more for"</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Alo "is a brand for people like me in Sydney"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Aware Alo has stores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Visited an Alo store or website in the past three months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spacing w:after="160" w:line="288"/>
      </w:pPr>
      <w:r>
        <w:t xml:space="preserve">The objectives follow DAGMAR (Colley, 1961). AIDA and the hierarchy of effects assume that consumers think, then feel, then do (Lavidge &amp; Steiner, 1961; Strong, 1925). Figure 1 shows why this campaign reverses the first two steps. Premium activewear is a high-involvement purchase worn in public, so attitude precedes information (Vaughn, 1980): until Segment A feels Alo is "for people like me", knowing a store's address is worthless. The hierarchy is a heuristic, not a law, so all four objectives are tracked simultaneously. O3 (doubling store awareness) is the most ambitious, but it is attainable because every paid asset carries the store line, and it links directly to the reach objective in Section 5. Baselines are estimates to be confirmed by the pre-campaign survey, and visits rather than sales are targeted because price and stock sit outside communication's control (Belch &amp; Belch, 2021).</w:t>
      </w:r>
    </w:p>
    <w:p>
      <w:pPr>
        <w:keepNext/>
        <w:spacing w:after="40" w:before="200"/>
      </w:pPr>
      <w:r>
        <w:rPr>
          <w:b/>
          <w:bCs/>
        </w:rPr>
        <w:t xml:space="preserve">Figure 1</w:t>
      </w:r>
    </w:p>
    <w:p>
      <w:pPr>
        <w:keepNext/>
        <w:spacing w:after="100"/>
      </w:pPr>
      <w:r>
        <w:rPr>
          <w:i/>
          <w:iCs/>
        </w:rPr>
        <w:t xml:space="preserve">Response Hierarchy Applied to the Objectives</w:t>
      </w:r>
    </w:p>
    <w:p>
      <w:pPr>
        <w:keepNext/>
        <w:spacing w:after="80"/>
        <w:jc w:val="center"/>
      </w:pPr>
      <w:r>
        <w:drawing>
          <wp:inline distT="0" distB="0" distL="0" distR="0">
            <wp:extent cx="603504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12382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Strong (1925), Lavidge and Steiner (1961) and Vaughn (1980).</w:t>
      </w:r>
    </w:p>
    <w:p>
      <w:pPr>
        <w:pStyle w:val="Heading1"/>
      </w:pPr>
      <w:r>
        <w:t xml:space="preserve">3. Communication Strategy</w:t>
      </w:r>
    </w:p>
    <w:p>
      <w:pPr>
        <w:pStyle w:val="Heading2"/>
      </w:pPr>
      <w:r>
        <w:t xml:space="preserve">3.1 Insight and Diagnosis</w:t>
      </w:r>
    </w:p>
    <w:p>
      <w:pPr>
        <w:spacing w:after="160" w:line="288"/>
      </w:pPr>
      <w:r>
        <w:rPr>
          <w:b/>
          <w:bCs/>
        </w:rPr>
        <w:t xml:space="preserve">Insight:</w:t>
      </w:r>
      <w:r>
        <w:t xml:space="preserve"> for Segment A, studio fitness is a social performance. Young women experience exercise as visible "aesthetic labour" on Instagram (Camacho-Miñano et al., 2019), so activewear is judged at the café as much as in class. The communication process model (Schramm, as cited in Belch &amp; Belch, 2021) explains why Alo has not yet capitalised on this (Figure 2). Meaning is shared only where fields of experience overlap. Alo's launch was encoded in Los Angeles and decoded in Sydney as "beautiful, but not for me". The fix is not more volume but re-encoding the message through Sydney instructors and creators, whose fields of experience overlap almost completely with the audience's. The model also highlights noise from Lululemon's far larger share of search and a crowded influencer feed, which favours repeating one idea. The model's feedback loop is built into the plan: creator comments, bookings and search interest are reviewed between bursts so the encoding can be adjusted (Section 6).</w:t>
      </w:r>
    </w:p>
    <w:p>
      <w:pPr>
        <w:keepNext/>
        <w:spacing w:after="40" w:before="200"/>
      </w:pPr>
      <w:r>
        <w:rPr>
          <w:b/>
          <w:bCs/>
        </w:rPr>
        <w:t xml:space="preserve">Figure 2</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800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Schramm's model as presented in Belch and Belch (2021).</w:t>
      </w:r>
    </w:p>
    <w:p>
      <w:pPr>
        <w:pStyle w:val="Heading2"/>
      </w:pPr>
      <w:r>
        <w:t xml:space="preserve">3.2 Positioning: Global Brand, Local Meaning</w:t>
      </w:r>
    </w:p>
    <w:p>
      <w:pPr>
        <w:spacing w:after="160" w:line="288"/>
      </w:pPr>
      <w:r>
        <w:rPr>
          <w:i/>
          <w:iCs/>
        </w:rPr>
        <w:t xml:space="preserve">For style-led studio women in Sydney, Alo is the premium activewear brand designed to move from the reformer to the rest of the day.</w:t>
      </w:r>
      <w:r>
        <w:t xml:space="preserve"> Levitt (1983) argued that global brands should standardise, but standardised efficiency does not guarantee local relevance. Alo's identity, positioning and visual assets are therefore standardised to protect its global prestige (see Appendix C): logo, neutral palette, studio aesthetic and a no-discount policy. People, places, partnerships and offers are localised: Sydney instructors, Bondi and CBD settings, Body by Berner, and styling appointments. Localness adds relational value even for foreign brands (Sichtmann et al., 2019). The risk is that Alo's own global celebrity content keeps reaching Sydney feeds, so the local work must be distinctive enough to compete with Alo's global voice.</w:t>
      </w:r>
    </w:p>
    <w:p>
      <w:pPr>
        <w:pStyle w:val="Heading2"/>
      </w:pPr>
      <w:r>
        <w:t xml:space="preserve">3.3 Message Strategy</w:t>
      </w:r>
    </w:p>
    <w:p>
      <w:pPr>
        <w:spacing w:after="160" w:line="288"/>
      </w:pPr>
      <w:r>
        <w:t xml:space="preserve">One message carries the proposition everywhere: </w:t>
      </w:r>
      <w:r>
        <w:rPr>
          <w:b/>
          <w:bCs/>
        </w:rPr>
        <w:t xml:space="preserve">"Mat to Moment: one set, made for the whole day."</w:t>
      </w:r>
      <w:r>
        <w:t xml:space="preserve"> Appendix F traces its three pillars from challenge to touchpoint. The pillars divide the persuasive work; they are not three campaigns. Each carries the same line, and the shared brand codes beneath them are what make the campaign integrated rather than merely multi-channel.</w:t>
      </w:r>
    </w:p>
    <w:p>
      <w:pPr>
        <w:spacing w:after="160" w:line="288"/>
      </w:pPr>
      <w:r>
        <w:t xml:space="preserve">Under the Elaboration Likelihood Model, the persuasion route depends on motivation and ability (Petty et al., 1983). Segment A is motivated but meets most messages while scrolling, when ability is low (Figure 3). </w:t>
      </w:r>
      <w:r>
        <w:rPr>
          <w:i/>
          <w:iCs/>
        </w:rPr>
        <w:t xml:space="preserve">Made for Sydney's day</w:t>
      </w:r>
      <w:r>
        <w:t xml:space="preserve"> therefore works peripherally, through local sources and familiar settings, and </w:t>
      </w:r>
      <w:r>
        <w:rPr>
          <w:i/>
          <w:iCs/>
        </w:rPr>
        <w:t xml:space="preserve">Find us</w:t>
      </w:r>
      <w:r>
        <w:t xml:space="preserve"> through repetition that builds memory structures (Sharp, 2010). Peripheral attitudes are weaker and fade faster, which is why the schedule keeps an always-on base rather than relying on bursts alone. </w:t>
      </w:r>
      <w:r>
        <w:rPr>
          <w:i/>
          <w:iCs/>
        </w:rPr>
        <w:t xml:space="preserve">Worth it</w:t>
      </w:r>
      <w:r>
        <w:t xml:space="preserve"> takes the central route: fit, fabric and cost per wear are tested hands-on at Sanctuary Sessions, because centrally formed attitudes resist counter-arguments such as "Lululemon is cheaper" (Petty &amp; Cacioppo, 1986). The routes are not exclusive, since one post can trigger both product and source thoughts (Wright, 1973), and sessions reach hundreds rather than thousands, so every session is filmed to carry its proof further. Discounting was rejected because promotions increase price sensitivity over time (Mela et al., 1997).</w:t>
      </w:r>
    </w:p>
    <w:p>
      <w:pPr>
        <w:keepNext/>
        <w:spacing w:after="40" w:before="200"/>
      </w:pPr>
      <w:r>
        <w:rPr>
          <w:b/>
          <w:bCs/>
        </w:rPr>
        <w:t xml:space="preserve">Figure 3</w:t>
      </w:r>
    </w:p>
    <w:p>
      <w:pPr>
        <w:keepNext/>
        <w:spacing w:after="100"/>
      </w:pPr>
      <w:r>
        <w:rPr>
          <w:i/>
          <w:iCs/>
        </w:rPr>
        <w:t xml:space="preserve">Elaboration Likelihood Model Applied to the Pillars</w:t>
      </w:r>
    </w:p>
    <w:p>
      <w:pPr>
        <w:keepNext/>
        <w:spacing w:after="80"/>
        <w:jc w:val="center"/>
      </w:pPr>
      <w:r>
        <w:drawing>
          <wp:inline distT="0" distB="0" distL="0" distR="0">
            <wp:extent cx="603504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8098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Petty et al. (1983).</w:t>
      </w:r>
    </w:p>
    <w:p>
      <w:pPr>
        <w:pStyle w:val="Heading2"/>
      </w:pPr>
      <w:r>
        <w:t xml:space="preserve">3.4 Source Selection</w:t>
      </w:r>
    </w:p>
    <w:p>
      <w:pPr>
        <w:spacing w:after="160" w:line="288"/>
      </w:pPr>
      <w:r>
        <w:t xml:space="preserve">Sources are judged on credibility, attractiveness (Ohanian, 1990) and fit with the claim (Kamins, 1990), across influencer tiers (Campbell &amp; Farrell, 2020; Figure 4). Instructors are experts matched to a performance claim. Micro-creators trade reach for credibility, which drives trust in influencer content (Lou &amp; Yuan, 2019), and very large followings can reduce perceived uniqueness (De Veirman et al., 2017). Editorial adds third-party credibility (Cameron, 1994). A celebrity was rejected because high attractiveness with low local fit would re-encode the Los Angeles meaning. The cost is reach, which one macro creator and paid media buy back. Credibility is also legal: 96% of fashion influencers reviewed had posts raising consumer-law concerns (ACCC, 2023), so disclosure is mandatory in every brief.</w:t>
      </w:r>
    </w:p>
    <w:p>
      <w:pPr>
        <w:keepNext/>
        <w:spacing w:after="40" w:before="200"/>
      </w:pPr>
      <w:r>
        <w:rPr>
          <w:b/>
          <w:bCs/>
        </w:rPr>
        <w:t xml:space="preserve">Figure 4</w:t>
      </w:r>
    </w:p>
    <w:p>
      <w:pPr>
        <w:keepNext/>
        <w:spacing w:after="100"/>
      </w:pPr>
      <w:r>
        <w:rPr>
          <w:i/>
          <w:iCs/>
        </w:rPr>
        <w:t xml:space="preserve">Source Characteristics Applied Across Influencer Tiers</w:t>
      </w:r>
    </w:p>
    <w:p>
      <w:pPr>
        <w:keepNext/>
        <w:spacing w:after="80"/>
        <w:jc w:val="center"/>
      </w:pPr>
      <w:r>
        <w:drawing>
          <wp:inline distT="0" distB="0" distL="0" distR="0">
            <wp:extent cx="603504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419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Dimensions from Ohanian (1990); tiers from Campbell and Farrell (2020).</w:t>
      </w:r>
    </w:p>
    <w:p>
      <w:pPr>
        <w:pStyle w:val="Heading2"/>
      </w:pPr>
      <w:r>
        <w:t xml:space="preserve">3.5 Integration Across the Journey</w:t>
      </w:r>
    </w:p>
    <w:p>
      <w:pPr>
        <w:spacing w:after="160" w:line="288"/>
      </w:pPr>
      <w:r>
        <w:t xml:space="preserve">IMC exists because fragmented messages weaken brand equity and trust (Belch &amp; Belch, 2021; Keller, 2001). Figure 5 maps the campaign onto the consumer decision journey, extended for social influence (Court et al., 2009; Stephen, 2016): each stage has a different job, but all six tell the same story, and advocates' #MatToMoment posts become discovery content for the next customer at no media cost. Figure 6 shows the cost of this approach. About 45% of the budget goes to creators, sessions and PR, which carry higher impact but lower control (Duncan, as cited in Belch &amp; Belch, 2021). Company-created touchpoints such as outdoor are controllable but persuade least. Customer-initiated and unexpected ones, such as a #MatToMoment post, a critical review or a creator controversy, persuade most but cannot be scripted. Shared brand codes, tight creator briefs and weekly social listening protect consistency. This is the campaign's central bet: an advertising-led plan would be more controllable but less believable, which is the opposite of what Challenges 1 and 5 need. Because the journey is non-linear, attribution across touchpoints will remain imperfect (Lemon &amp; Verhoef, 2016), which Section 6 acknowledges.</w:t>
      </w:r>
    </w:p>
    <w:p>
      <w:pPr>
        <w:keepNext/>
        <w:spacing w:after="40" w:before="200"/>
      </w:pPr>
      <w:r>
        <w:rPr>
          <w:b/>
          <w:bCs/>
        </w:rPr>
        <w:t xml:space="preserve">Figure 5</w:t>
      </w:r>
    </w:p>
    <w:p>
      <w:pPr>
        <w:keepNext/>
        <w:spacing w:after="100"/>
      </w:pPr>
      <w:r>
        <w:rPr>
          <w:i/>
          <w:iCs/>
        </w:rPr>
        <w:t xml:space="preserve">Consumer Decision Journey With Social Influence</w:t>
      </w:r>
    </w:p>
    <w:p>
      <w:pPr>
        <w:keepNext/>
        <w:spacing w:after="80"/>
        <w:jc w:val="center"/>
      </w:pPr>
      <w:r>
        <w:drawing>
          <wp:inline distT="0" distB="0" distL="0" distR="0">
            <wp:extent cx="603504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383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Court et al. (2009) and Stephen (2016).</w:t>
      </w:r>
    </w:p>
    <w:p>
      <w:pPr>
        <w:keepNext/>
        <w:spacing w:after="40" w:before="200"/>
      </w:pPr>
      <w:r>
        <w:rPr>
          <w:b/>
          <w:bCs/>
        </w:rPr>
        <w:t xml:space="preserve">Figure 6</w:t>
      </w:r>
    </w:p>
    <w:p>
      <w:pPr>
        <w:keepNext/>
        <w:spacing w:after="100"/>
      </w:pPr>
      <w:r>
        <w:rPr>
          <w:i/>
          <w:iCs/>
        </w:rPr>
        <w:t xml:space="preserve">Campaign Touchpoints by Impact and Control</w:t>
      </w:r>
    </w:p>
    <w:p>
      <w:pPr>
        <w:keepNext/>
        <w:spacing w:after="80"/>
        <w:jc w:val="center"/>
      </w:pPr>
      <w:r>
        <w:drawing>
          <wp:inline distT="0" distB="0" distL="0" distR="0">
            <wp:extent cx="603504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9146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Touchpoint types from Duncan (as cited in Belch &amp; Belch, 2021).</w:t>
      </w:r>
    </w:p>
    <w:p>
      <w:pPr>
        <w:pStyle w:val="Heading1"/>
      </w:pPr>
      <w:r>
        <w:t xml:space="preserve">4. Creative Strategy</w:t>
      </w:r>
    </w:p>
    <w:p>
      <w:pPr>
        <w:pStyle w:val="Heading2"/>
      </w:pPr>
      <w:r>
        <w:t xml:space="preserve">4.1 Creative Brief and Concept</w:t>
      </w:r>
    </w:p>
    <w:p>
      <w:pPr>
        <w:keepNext/>
        <w:spacing w:after="40" w:before="200"/>
      </w:pPr>
      <w:r>
        <w:rPr>
          <w:b/>
          <w:bCs/>
        </w:rPr>
        <w:t xml:space="preserve">Table 3</w:t>
      </w:r>
    </w:p>
    <w:p>
      <w:pPr>
        <w:keepNext/>
        <w:spacing w:after="100"/>
      </w:pPr>
      <w:r>
        <w:rPr>
          <w:i/>
          <w:iCs/>
        </w:rPr>
        <w:t xml:space="preserve">Creative Brief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713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22–34, Greater Sydney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Activewear is judged after class as much as in it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made for the whole day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Instructor-tested fit, cost per wear, editorial reviews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Tone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Calm, confident, natural light, diverse bodies</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Mandatories</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#ad disclosure, substantiated claims, sync licences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Deliverables</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Hero film, cut-downs, audio, outdoor, creator toolkits</w:t>
            </w:r>
          </w:p>
        </w:tc>
      </w:tr>
    </w:tbl>
    <w:p>
      <w:pPr>
        <w:spacing w:after="240" w:before="60"/>
      </w:pPr>
      <w:r>
        <w:rPr>
          <w:i/>
          <w:iCs/>
          <w:color w:val="5B6770"/>
          <w:sz w:val="19"/>
          <w:szCs w:val="19"/>
        </w:rPr>
        <w:t xml:space="preserve">Note. </w:t>
      </w:r>
      <w:r>
        <w:rPr>
          <w:color w:val="5B6770"/>
          <w:sz w:val="19"/>
          <w:szCs w:val="19"/>
        </w:rPr>
        <w:t xml:space="preserve">Elements from Belch and Belch (2021).</w:t>
      </w:r>
    </w:p>
    <w:p>
      <w:pPr>
        <w:spacing w:after="160" w:line="288"/>
      </w:pPr>
      <w:r>
        <w:rPr>
          <w:b/>
          <w:bCs/>
        </w:rPr>
        <w:t xml:space="preserve">One Set, One Day</w:t>
      </w:r>
      <w:r>
        <w:t xml:space="preserve"> follows a single Alo set through a real Sydney day. The lead creator, Bernadette Sukkar of Body by Berner in Bondi, combines Pilates expertise with a fashion-PR background, matching both halves of the message (RIISE, 2026). Her studio hosts the first </w:t>
      </w:r>
      <w:r>
        <w:rPr>
          <w:b/>
          <w:bCs/>
        </w:rPr>
        <w:t xml:space="preserve">Sanctuary Sessions</w:t>
      </w:r>
      <w:r>
        <w:t xml:space="preserve">: a class, a fabric trial and styling advice, followed by a complimentary styling appointment rather than a discount. Memorable experiences create value that advertising alone cannot (Pine &amp; Gilmore, 1998), and the sessions add something Lululemon's run clubs do not: the community continues into the "moment" after class, which is the half of the proposition Lululemon does not own.</w:t>
      </w:r>
    </w:p>
    <w:p>
      <w:pPr>
        <w:pStyle w:val="Heading2"/>
      </w:pPr>
      <w:r>
        <w:t xml:space="preserve">4.2 Creativity, Appeals and Execution</w:t>
      </w:r>
    </w:p>
    <w:p>
      <w:pPr>
        <w:spacing w:after="160" w:line="288"/>
      </w:pPr>
      <w:r>
        <w:t xml:space="preserve">The idea is divergent, because it shows quiet post-class moments rather than the category's sweat and intensity. It is also relevant, because that narrative </w:t>
      </w:r>
      <w:r>
        <w:rPr>
          <w:i/>
          <w:iCs/>
        </w:rPr>
        <w:t xml:space="preserve">is</w:t>
      </w:r>
      <w:r>
        <w:t xml:space="preserve"> the positioning (Smith &amp; Yang, 2004). On the divergence dimensions of Smith et al. (2007; see Appendix D), it shows originality (quiet moments), synthesis (linking the reformer and the café through one garment) and flexibility (it works as film, still, audio and live session). The risk is that divergent work is remembered without the brand, so the logo, palette and "Mat to Moment" sign-off appear in every execution. The lead appeals are aspirational and social approval (Belch &amp; Belch, 2021). Social approval is the riskiest choice here, because visibility drives appearance pressure (Camacho-Miñano et al., 2019), and exploiting that insecurity would cross from persuasion into manipulation. Executions therefore show diverse bodies and use no retouching. A rational appeal reframes price as cost per wear, presenting value as longevity rather than low price. Slice-of-life storytelling carries the emotion, and demonstration carries the proof.</w:t>
      </w:r>
    </w:p>
    <w:p>
      <w:pPr>
        <w:pStyle w:val="Heading2"/>
      </w:pPr>
      <w:r>
        <w:t xml:space="preserve">4.3 One Idea Across Every Channel</w:t>
      </w:r>
    </w:p>
    <w:p>
      <w:pPr>
        <w:spacing w:after="160" w:line="288"/>
      </w:pPr>
      <w:r>
        <w:t xml:space="preserve">Strong integrated campaigns use many tactics in service of one idea. In Appendix G, each channel adapts the hook and call to action to suit its medium, but all share one story and one sign-off, which gives consistent meaning without identical executions (Batra &amp; Keller, 2016). Because IMC builds recall through repetition and consistency (Keller, 2001), a viewer who hears the audio, passes a bus shelter and then sees a creator's post meets one idea three times, not three different ideas once. Weaker formats compress the idea rather than abandon it, for example three moments in one outdoor frame. Claims must be substantiated under the Australian Consumer Law, as Lorna Jane's A$5 million penalty shows (ACCC, 2021), and creator posts must be clearly identifiable as advertising (Australian Association of National Advertisers [AANA], 2021). Emails need recorded consent, and the music needs sync licences.</w:t>
      </w:r>
    </w:p>
    <w:p>
      <w:pPr>
        <w:pStyle w:val="Heading1"/>
      </w:pPr>
      <w:r>
        <w:t xml:space="preserve">5. Media Strategy and Budget</w:t>
      </w:r>
    </w:p>
    <w:p>
      <w:pPr>
        <w:spacing w:after="160" w:line="288"/>
      </w:pPr>
      <w:r>
        <w:t xml:space="preserve">Media planning balances reach for awareness against frequency for persuasion (Belch &amp; Belch, 2021), and the campaign splits that job. Outdoor, Spotify and geo-targeted social provide reach for </w:t>
      </w:r>
      <w:r>
        <w:rPr>
          <w:i/>
          <w:iCs/>
        </w:rPr>
        <w:t xml:space="preserve">Find us</w:t>
      </w:r>
      <w:r>
        <w:t xml:space="preserve">; creators and sessions provide depth for </w:t>
      </w:r>
      <w:r>
        <w:rPr>
          <w:i/>
          <w:iCs/>
        </w:rPr>
        <w:t xml:space="preserve">Worth it</w:t>
      </w:r>
      <w:r>
        <w:t xml:space="preserve"> and </w:t>
      </w:r>
      <w:r>
        <w:rPr>
          <w:i/>
          <w:iCs/>
        </w:rPr>
        <w:t xml:space="preserve">Made for Sydney's day</w:t>
      </w:r>
      <w:r>
        <w:t xml:space="preserve">. The media objective is to reach 70% of Segment A at least once in Burst 1, at an average frequency of four, and to retarget 20% of those exposed in Burst 3. Geographic coverage is Greater Sydney, weighted to the catchments around Chatswood Chase, The Galeries and Bondi Junction. If Bondi Junction opens late, its weight moves to the CBD. Outdoor has low audience selectivity (Belch &amp; Belch, 2021), so it carries only the store line, near the stores. Spotify reaches commuting and workout moments but cannot show the set, so it uses sound cues. Retargeting then follows anyone exposed, and it works best once consumers have formed preferences (Lambrecht &amp; Tucker, 2013). Publicity depends on newsworthiness (Belch &amp; Belch, 2021), and a branded class is not news, so the hook is a free Bondi-to-Bronte walk series. Sessions also act as a free trial, which reduces purchase risk without a price cut (Belch &amp; Belch, 2021). Booking and store emails are personalised direct marketing that converts interest into visits, so they are sent only with recorded consent.</w:t>
      </w:r>
    </w:p>
    <w:p>
      <w:pPr>
        <w:keepNext/>
        <w:spacing w:after="40" w:before="200"/>
      </w:pPr>
      <w:r>
        <w:rPr>
          <w:b/>
          <w:bCs/>
        </w:rPr>
        <w:t xml:space="preserve">Table 4</w:t>
      </w:r>
    </w:p>
    <w:p>
      <w:pPr>
        <w:keepNext/>
        <w:spacing w:after="100"/>
      </w:pPr>
      <w:r>
        <w:rPr>
          <w:i/>
          <w:iCs/>
        </w:rPr>
        <w:t xml:space="preserve">Media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313"/>
        <w:gridCol w:w="1542"/>
        <w:gridCol w:w="2892"/>
      </w:tblGrid>
      <w:tr>
        <w:trPr>
          <w:tblHeader/>
        </w:trPr>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Vehicle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289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Role</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Outdoor near stores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store cue</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retargeting</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then frequency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Credibility</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PR</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Trial, credibility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Owned social, emails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Conversion</w:t>
            </w:r>
          </w:p>
        </w:tc>
      </w:tr>
    </w:tbl>
    <w:p>
      <w:pPr>
        <w:spacing w:after="160"/>
      </w:pPr>
    </w:p>
    <w:p>
      <w:pPr>
        <w:spacing w:after="160" w:line="288"/>
      </w:pPr>
      <w:r>
        <w:t xml:space="preserve">Interest decays after each novelty spike (Appendix A), so scheduling uses </w:t>
      </w:r>
      <w:r>
        <w:rPr>
          <w:b/>
          <w:bCs/>
        </w:rPr>
        <w:t xml:space="preserve">pulsing</w:t>
      </w:r>
      <w:r>
        <w:t xml:space="preserve">: an always-on base with three bursts (Belch &amp; Belch, 2021; Figure 7). Burst 1 (weeks 1–3) builds awareness, Burst 2 (weeks 6–8) builds consideration in February, when many people resume fitness routines, and Burst 3 (weeks 11–12) drives visits and advocacy. Flighting would leave gaps in which interest decays, and full continuous weight is unaffordable.</w:t>
      </w:r>
    </w:p>
    <w:p>
      <w:pPr>
        <w:keepNext/>
        <w:spacing w:after="40" w:before="200"/>
      </w:pPr>
      <w:r>
        <w:rPr>
          <w:b/>
          <w:bCs/>
        </w:rPr>
        <w:t xml:space="preserve">Figure 7</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media plan. Pre- and post-campaign surveys run in December 2026 and April 2027.</w:t>
      </w:r>
    </w:p>
    <w:p>
      <w:pPr>
        <w:spacing w:after="160" w:line="288"/>
      </w:pPr>
      <w:r>
        <w:t xml:space="preserve">The budget uses the objective-and-task method (Belch &amp; Belch, 2021). Partnerships receive 42% because they span paid, owned and earned media (Stephen &amp; Galak, 2012): a creator partnership is paid, its content is reused on Alo's owned channels, and audiences share it as earned media. Discounting and celebrity fees are excluded because both would weaken Alo's premium, local position. The weakness is that only 40% buys traditional reach, so if Burst 1 misses its reach target, the contingency moves into paid social. The 5% contingency also covers rate rises and a delayed Bondi Junction opening.</w:t>
      </w:r>
    </w:p>
    <w:p>
      <w:pPr>
        <w:keepNext/>
        <w:spacing w:after="40" w:before="200"/>
      </w:pPr>
      <w:r>
        <w:rPr>
          <w:b/>
          <w:bCs/>
        </w:rPr>
        <w:t xml:space="preserve">Table 5</w:t>
      </w:r>
    </w:p>
    <w:p>
      <w:pPr>
        <w:keepNext/>
        <w:spacing w:after="100"/>
      </w:pPr>
      <w:r>
        <w:rPr>
          <w:i/>
          <w:iCs/>
        </w:rPr>
        <w:t xml:space="preserve">Budget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1157"/>
        <w:gridCol w:w="1156"/>
      </w:tblGrid>
      <w:tr>
        <w:trPr>
          <w:tblHeader/>
        </w:trPr>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Subtotal</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Research (pre/post surveys)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Contingency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4.8</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w:t>
            </w:r>
          </w:p>
        </w:tc>
      </w:tr>
    </w:tbl>
    <w:p>
      <w:pPr>
        <w:spacing w:after="160"/>
      </w:pPr>
    </w:p>
    <w:p>
      <w:pPr>
        <w:pStyle w:val="Heading1"/>
      </w:pPr>
      <w:r>
        <w:t xml:space="preserve">6. Campaign Evaluation</w:t>
      </w:r>
    </w:p>
    <w:p>
      <w:pPr>
        <w:spacing w:after="160" w:line="288"/>
      </w:pPr>
      <w:r>
        <w:t xml:space="preserve">Effectiveness means achieving the intended outcomes, not likes (Belch &amp; Belch, 2021). Pre-testing in December 2026 uses concept tests, A/B comparisons of edits and the baseline survey to check comprehension, brand attribution, relevance and the call to action. Because test viewers are made to watch, results are used to choose between executions rather than forecast outcomes. In-flight digital metrics guide reallocation between bursts. Creators are judged on audience fit, credibility, brand lift and tracked action, not followers (Campbell &amp; Farrell, 2020). Each measure in Table 6 maps to one objective, so the evaluation tests the same feel → learn → do logic that built the campaign. Post-testing in April 2027 repeats the survey, uses social listening, checks self-reported visits against store traffic and web analytics, and compares results with a Melbourne control sample. Observational attribution can overstate advertising effects compared with experiments (Gordon et al., 2019), so results will be reported as indicative rather than proven. Unexpected audiences, such as older shoppers responding to outdoor, will be reported as learning rather than noise.</w:t>
      </w:r>
    </w:p>
    <w:p>
      <w:pPr>
        <w:keepNext/>
        <w:spacing w:after="40" w:before="200"/>
      </w:pPr>
      <w:r>
        <w:rPr>
          <w:b/>
          <w:bCs/>
        </w:rPr>
        <w:t xml:space="preserve">Table 6</w:t>
      </w:r>
    </w:p>
    <w:p>
      <w:pPr>
        <w:keepNext/>
        <w:spacing w:after="100"/>
      </w:pPr>
      <w:r>
        <w:rPr>
          <w:i/>
          <w:iCs/>
        </w:rPr>
        <w:t xml:space="preserve">Evaluation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1"/>
        <w:gridCol w:w="2313"/>
        <w:gridCol w:w="1542"/>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Measures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 O2</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UGC and comment sentiment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 ≥25%</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weekly Google Trends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visits; store traffic; tracked links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pStyle w:val="Heading1"/>
      </w:pPr>
      <w:r>
        <w:t xml:space="preserve">7. Conclusion</w:t>
      </w:r>
    </w:p>
    <w:p>
      <w:pPr>
        <w:spacing w:after="160" w:line="288"/>
      </w:pPr>
      <w:r>
        <w:t xml:space="preserve">Alo arrived in Sydney with a famous name but little local meaning. Every pillar, source, channel and burst in this brief answers a diagnosed challenge, with one message adapted to every channel but never changed: one set, made for the whole Sydney day.</w:t>
      </w:r>
    </w:p>
    <w:p>
      <w:r>
        <w:br w:type="page"/>
      </w:r>
    </w:p>
    <w:p>
      <w:pPr>
        <w:pStyle w:val="Heading1"/>
      </w:pPr>
      <w:r>
        <w:t xml:space="preserve">References</w:t>
      </w:r>
    </w:p>
    <w:p>
      <w:pPr>
        <w:spacing w:after="120" w:line="276"/>
        <w:ind w:left="720" w:hanging="720"/>
      </w:pPr>
      <w:r>
        <w:rPr>
          <w:sz w:val="21"/>
          <w:szCs w:val="21"/>
        </w:rPr>
        <w:t xml:space="preserve">Australian Association of National Advertisers. (2021). </w:t>
      </w:r>
      <w:r>
        <w:rPr>
          <w:i/>
          <w:iCs/>
          <w:sz w:val="21"/>
          <w:szCs w:val="21"/>
        </w:rPr>
        <w:t xml:space="preserve">AANA code of ethics</w:t>
      </w:r>
      <w:r>
        <w:rPr>
          <w:sz w:val="21"/>
          <w:szCs w:val="21"/>
        </w:rPr>
        <w:t xml:space="preserve">. https://aana.com.au/self-regulation/codes-guidelines/code-of-ethics/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Australian Competition and Consumer Commission. (2023, December). </w:t>
      </w:r>
      <w:r>
        <w:rPr>
          <w:i/>
          <w:iCs/>
          <w:sz w:val="21"/>
          <w:szCs w:val="21"/>
        </w:rPr>
        <w:t xml:space="preserve">Scrutiny of influencers and businesses for misleading advertising and online reviews continues</w:t>
      </w:r>
      <w:r>
        <w:rPr>
          <w:sz w:val="21"/>
          <w:szCs w:val="21"/>
        </w:rPr>
        <w:t xml:space="preserve"> [Media release]. https://www.accc.gov.au/media-release/scrutiny-of-influencers-and-businesses-for-misleading-advertising-and-online-reviews-continues</w:t>
      </w:r>
    </w:p>
    <w:p>
      <w:pPr>
        <w:spacing w:after="120" w:line="276"/>
        <w:ind w:left="720" w:hanging="720"/>
      </w:pPr>
      <w:r>
        <w:rPr>
          <w:sz w:val="21"/>
          <w:szCs w:val="21"/>
        </w:rPr>
        <w:t xml:space="preserve">Batra, R., &amp; Keller, K. L. (2016). Integrating marketing communications: New findings, new lessons, and new ideas. </w:t>
      </w:r>
      <w:r>
        <w:rPr>
          <w:i/>
          <w:iCs/>
          <w:sz w:val="21"/>
          <w:szCs w:val="21"/>
        </w:rPr>
        <w:t xml:space="preserve">Journal of Marketing, 80</w:t>
      </w:r>
      <w:r>
        <w:rPr>
          <w:sz w:val="21"/>
          <w:szCs w:val="21"/>
        </w:rPr>
        <w:t xml:space="preserve">(6), 122–145. https://doi.org/10.1509/jm.15.0419</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Campbell, C., &amp; Farrell, J. R. (2020). More than meets the eye: The functional components underlying influencer marketing. </w:t>
      </w:r>
      <w:r>
        <w:rPr>
          <w:i/>
          <w:iCs/>
          <w:sz w:val="21"/>
          <w:szCs w:val="21"/>
        </w:rPr>
        <w:t xml:space="preserve">Business Horizons, 63</w:t>
      </w:r>
      <w:r>
        <w:rPr>
          <w:sz w:val="21"/>
          <w:szCs w:val="21"/>
        </w:rPr>
        <w:t xml:space="preserve">(4), 469–479. https://doi.org/10.1016/j.bushor.2020.03.003</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(2025a). Lorna Jane's profit doubles thanks to strong demand for athletic clothing. </w:t>
      </w:r>
      <w:r>
        <w:rPr>
          <w:i/>
          <w:iCs/>
          <w:sz w:val="21"/>
          <w:szCs w:val="21"/>
        </w:rPr>
        <w:t xml:space="preserve">Inside Retail</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Chadwick, </w:t>
      </w:r>
      <w:r>
        <w:rPr>
          <w:sz w:val="21"/>
          <w:szCs w:val="21"/>
          <w:highlight w:val="yellow"/>
          <w:highlightCs w:val="yellow"/>
        </w:rPr>
        <w:t xml:space="preserve">[Initial]</w:t>
      </w:r>
      <w:r>
        <w:rPr>
          <w:sz w:val="21"/>
          <w:szCs w:val="21"/>
        </w:rPr>
        <w:t xml:space="preserve">. (2025b). </w:t>
      </w:r>
      <w:r>
        <w:rPr>
          <w:sz w:val="21"/>
          <w:szCs w:val="21"/>
          <w:highlight w:val="yellow"/>
          <w:highlightCs w:val="yellow"/>
        </w:rPr>
        <w:t xml:space="preserve">[Article title]</w:t>
      </w:r>
      <w:r>
        <w:rPr>
          <w:sz w:val="21"/>
          <w:szCs w:val="21"/>
        </w:rPr>
        <w:t xml:space="preserve">. </w:t>
      </w:r>
      <w:r>
        <w:rPr>
          <w:i/>
          <w:iCs/>
          <w:sz w:val="21"/>
          <w:szCs w:val="21"/>
          <w:highlight w:val="yellow"/>
          <w:highlightCs w:val="yellow"/>
        </w:rPr>
        <w:t xml:space="preserve">[Publication]</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Court, D., Elzinga, D., Mulder, S., &amp; Vetvik, O. J. (2009). The consumer decision journey. </w:t>
      </w:r>
      <w:r>
        <w:rPr>
          <w:i/>
          <w:iCs/>
          <w:sz w:val="21"/>
          <w:szCs w:val="21"/>
        </w:rPr>
        <w:t xml:space="preserve">McKinsey Quarterly</w:t>
      </w:r>
      <w:r>
        <w:rPr>
          <w:sz w:val="21"/>
          <w:szCs w:val="21"/>
        </w:rPr>
        <w:t xml:space="preserve">, (3), 96–107.</w:t>
      </w:r>
    </w:p>
    <w:p>
      <w:pPr>
        <w:spacing w:after="120" w:line="276"/>
        <w:ind w:left="720" w:hanging="720"/>
      </w:pPr>
      <w:r>
        <w:rPr>
          <w:sz w:val="21"/>
          <w:szCs w:val="21"/>
        </w:rPr>
        <w:t xml:space="preserve">Danziger, P. N. (2026). </w:t>
      </w:r>
      <w:r>
        <w:rPr>
          <w:sz w:val="21"/>
          <w:szCs w:val="21"/>
          <w:highlight w:val="yellow"/>
          <w:highlightCs w:val="yellow"/>
        </w:rPr>
        <w:t xml:space="preserve">[Article title]</w:t>
      </w:r>
      <w:r>
        <w:rPr>
          <w:sz w:val="21"/>
          <w:szCs w:val="21"/>
        </w:rPr>
        <w:t xml:space="preserve">. </w:t>
      </w:r>
      <w:r>
        <w:rPr>
          <w:i/>
          <w:iCs/>
          <w:sz w:val="21"/>
          <w:szCs w:val="21"/>
        </w:rPr>
        <w:t xml:space="preserve">Forbes</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Deloitte. (2026). </w:t>
      </w:r>
      <w:r>
        <w:rPr>
          <w:i/>
          <w:iCs/>
          <w:sz w:val="21"/>
          <w:szCs w:val="21"/>
        </w:rPr>
        <w:t xml:space="preserve">2026 Gen Z and millennial survey</w:t>
      </w:r>
      <w:r>
        <w:rPr>
          <w:sz w:val="21"/>
          <w:szCs w:val="21"/>
        </w:rPr>
        <w:t xml:space="preserve">. https://www.deloitte.com/global/en/issues/work/genz-millennial-survey.html</w:t>
      </w:r>
    </w:p>
    <w:p>
      <w:pPr>
        <w:spacing w:after="120" w:line="276"/>
        <w:ind w:left="720" w:hanging="720"/>
      </w:pPr>
      <w:r>
        <w:rPr>
          <w:sz w:val="21"/>
          <w:szCs w:val="21"/>
        </w:rPr>
        <w:t xml:space="preserve">Escalas, J. E., &amp; Bettman, J. R. (2005). Self-construal, reference groups, and brand meaning. </w:t>
      </w:r>
      <w:r>
        <w:rPr>
          <w:i/>
          <w:iCs/>
          <w:sz w:val="21"/>
          <w:szCs w:val="21"/>
        </w:rPr>
        <w:t xml:space="preserve">Journal of Consumer Research, 32</w:t>
      </w:r>
      <w:r>
        <w:rPr>
          <w:sz w:val="21"/>
          <w:szCs w:val="21"/>
        </w:rPr>
        <w:t xml:space="preserve">(3), 378–389. https://doi.org/10.1086/497549</w:t>
      </w:r>
    </w:p>
    <w:p>
      <w:pPr>
        <w:spacing w:after="120" w:line="276"/>
        <w:ind w:left="720" w:hanging="720"/>
      </w:pPr>
      <w:r>
        <w:rPr>
          <w:sz w:val="21"/>
          <w:szCs w:val="21"/>
        </w:rPr>
        <w:t xml:space="preserve">Francis, T., &amp; Hoefel, F. (2018, November 12). </w:t>
      </w:r>
      <w:r>
        <w:rPr>
          <w:i/>
          <w:iCs/>
          <w:sz w:val="21"/>
          <w:szCs w:val="21"/>
        </w:rPr>
        <w:t xml:space="preserve">'True Gen': Generation Z and its implications for companies</w:t>
      </w:r>
      <w:r>
        <w:rPr>
          <w:sz w:val="21"/>
          <w:szCs w:val="21"/>
        </w:rPr>
        <w:t xml:space="preserve">. McKinsey &amp; Company. https://www.mckinsey.com/industries/consumer-packaged-goods/our-insights/true-gen-generation-z-and-its-implications-for-companies</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Gordon, B. R., Zettelmeyer, F., Bhargava, N., &amp; Chapsky, D. (2019). A comparison of approaches to advertising measurement: Evidence from big field experiments at Facebook. </w:t>
      </w:r>
      <w:r>
        <w:rPr>
          <w:i/>
          <w:iCs/>
          <w:sz w:val="21"/>
          <w:szCs w:val="21"/>
        </w:rPr>
        <w:t xml:space="preserve">Marketing Science, 38</w:t>
      </w:r>
      <w:r>
        <w:rPr>
          <w:sz w:val="21"/>
          <w:szCs w:val="21"/>
        </w:rPr>
        <w:t xml:space="preserve">(2), 193–225. https://doi.org/10.1287/mksc.2018.1135</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Keller, K. L. (2001). Mastering the marketing communications mix: Micro and macro perspectives on integrated marketing communication programs. </w:t>
      </w:r>
      <w:r>
        <w:rPr>
          <w:i/>
          <w:iCs/>
          <w:sz w:val="21"/>
          <w:szCs w:val="21"/>
        </w:rPr>
        <w:t xml:space="preserve">Journal of Marketing Management, 17</w:t>
      </w:r>
      <w:r>
        <w:rPr>
          <w:sz w:val="21"/>
          <w:szCs w:val="21"/>
        </w:rPr>
        <w:t xml:space="preserve">(7–8), 819–847. https://doi.org/10.1362/026725701323366836</w:t>
      </w:r>
    </w:p>
    <w:p>
      <w:pPr>
        <w:spacing w:after="120" w:line="276"/>
        <w:ind w:left="720" w:hanging="720"/>
      </w:pPr>
      <w:r>
        <w:rPr>
          <w:sz w:val="21"/>
          <w:szCs w:val="21"/>
        </w:rPr>
        <w:t xml:space="preserve">Lambrecht, A., &amp; Tucker, C. (2013). When does retargeting work? Information specificity in online advertising. </w:t>
      </w:r>
      <w:r>
        <w:rPr>
          <w:i/>
          <w:iCs/>
          <w:sz w:val="21"/>
          <w:szCs w:val="21"/>
        </w:rPr>
        <w:t xml:space="preserve">Journal of Marketing Research, 50</w:t>
      </w:r>
      <w:r>
        <w:rPr>
          <w:sz w:val="21"/>
          <w:szCs w:val="21"/>
        </w:rPr>
        <w:t xml:space="preserve">(5), 561–576. https://doi.org/10.1509/jmr.11.0503</w:t>
      </w:r>
    </w:p>
    <w:p>
      <w:pPr>
        <w:spacing w:after="120" w:line="276"/>
        <w:ind w:left="720" w:hanging="720"/>
      </w:pPr>
      <w:r>
        <w:rPr>
          <w:sz w:val="21"/>
          <w:szCs w:val="21"/>
        </w:rPr>
        <w:t xml:space="preserve">Lanoue, S. (2025, December 6). </w:t>
      </w:r>
      <w:r>
        <w:rPr>
          <w:sz w:val="21"/>
          <w:szCs w:val="21"/>
          <w:highlight w:val="yellow"/>
          <w:highlightCs w:val="yellow"/>
        </w:rPr>
        <w:t xml:space="preserve">[Article title]</w:t>
      </w:r>
      <w:r>
        <w:rPr>
          <w:sz w:val="21"/>
          <w:szCs w:val="21"/>
        </w:rPr>
        <w:t xml:space="preserve">. </w:t>
      </w:r>
      <w:r>
        <w:rPr>
          <w:i/>
          <w:iCs/>
          <w:sz w:val="21"/>
          <w:szCs w:val="21"/>
        </w:rPr>
        <w:t xml:space="preserve">Apart Style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Lemon, K. N., &amp; Verhoef, P. C. (2016). Understanding customer experience throughout the customer journey. </w:t>
      </w:r>
      <w:r>
        <w:rPr>
          <w:i/>
          <w:iCs/>
          <w:sz w:val="21"/>
          <w:szCs w:val="21"/>
        </w:rPr>
        <w:t xml:space="preserve">Journal of Marketing, 80</w:t>
      </w:r>
      <w:r>
        <w:rPr>
          <w:sz w:val="21"/>
          <w:szCs w:val="21"/>
        </w:rPr>
        <w:t xml:space="preserve">(6), 69–96. https://doi.org/10.1509/jm.15.0420</w:t>
      </w:r>
    </w:p>
    <w:p>
      <w:pPr>
        <w:spacing w:after="120" w:line="276"/>
        <w:ind w:left="720" w:hanging="720"/>
      </w:pPr>
      <w:r>
        <w:rPr>
          <w:sz w:val="21"/>
          <w:szCs w:val="21"/>
        </w:rPr>
        <w:t xml:space="preserve">Levitt, T. (1983). The globalization of markets. </w:t>
      </w:r>
      <w:r>
        <w:rPr>
          <w:i/>
          <w:iCs/>
          <w:sz w:val="21"/>
          <w:szCs w:val="21"/>
        </w:rPr>
        <w:t xml:space="preserve">Harvard Business Review, 61</w:t>
      </w:r>
      <w:r>
        <w:rPr>
          <w:sz w:val="21"/>
          <w:szCs w:val="21"/>
        </w:rPr>
        <w:t xml:space="preserve">(3), 92–102.</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Mela, C. F., Gupta, S., &amp; Lehmann, D. R. (1997). The long-term impact of promotion and advertising on consumer brand choice. </w:t>
      </w:r>
      <w:r>
        <w:rPr>
          <w:i/>
          <w:iCs/>
          <w:sz w:val="21"/>
          <w:szCs w:val="21"/>
        </w:rPr>
        <w:t xml:space="preserve">Journal of Marketing Research, 34</w:t>
      </w:r>
      <w:r>
        <w:rPr>
          <w:sz w:val="21"/>
          <w:szCs w:val="21"/>
        </w:rPr>
        <w:t xml:space="preserve">(2), 248–261. https://doi.org/10.1177/002224379703400205</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OpenPR. (2026). </w:t>
      </w:r>
      <w:r>
        <w:rPr>
          <w:sz w:val="21"/>
          <w:szCs w:val="21"/>
          <w:highlight w:val="yellow"/>
          <w:highlightCs w:val="yellow"/>
        </w:rPr>
        <w:t xml:space="preserve">[Article title]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Pedestrian. (2026). </w:t>
      </w:r>
      <w:r>
        <w:rPr>
          <w:sz w:val="21"/>
          <w:szCs w:val="21"/>
          <w:highlight w:val="yellow"/>
          <w:highlightCs w:val="yellow"/>
        </w:rPr>
        <w:t xml:space="preserve">[Article title]</w:t>
      </w:r>
      <w:r>
        <w:rPr>
          <w:sz w:val="21"/>
          <w:szCs w:val="21"/>
        </w:rPr>
        <w:t xml:space="preserve">. </w:t>
      </w:r>
      <w:r>
        <w:rPr>
          <w:i/>
          <w:iCs/>
          <w:sz w:val="21"/>
          <w:szCs w:val="21"/>
        </w:rPr>
        <w:t xml:space="preserve">Pedestrian.TV</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Pine, B. J., II, &amp; Gilmore, J. H. (1998). Welcome to the experience economy. </w:t>
      </w:r>
      <w:r>
        <w:rPr>
          <w:i/>
          <w:iCs/>
          <w:sz w:val="21"/>
          <w:szCs w:val="21"/>
        </w:rPr>
        <w:t xml:space="preserve">Harvard Business Review, 76</w:t>
      </w:r>
      <w:r>
        <w:rPr>
          <w:sz w:val="21"/>
          <w:szCs w:val="21"/>
        </w:rPr>
        <w:t xml:space="preserve">(4), 97–105.</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Russh. (2026). </w:t>
      </w:r>
      <w:r>
        <w:rPr>
          <w:sz w:val="21"/>
          <w:szCs w:val="21"/>
          <w:highlight w:val="yellow"/>
          <w:highlightCs w:val="yellow"/>
        </w:rPr>
        <w:t xml:space="preserve">[Article title]</w:t>
      </w:r>
      <w:r>
        <w:rPr>
          <w:sz w:val="21"/>
          <w:szCs w:val="21"/>
        </w:rPr>
        <w:t xml:space="preserve">. </w:t>
      </w:r>
      <w:r>
        <w:rPr>
          <w:i/>
          <w:iCs/>
          <w:sz w:val="21"/>
          <w:szCs w:val="21"/>
        </w:rPr>
        <w:t xml:space="preserve">Russh</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Rydzek, </w:t>
      </w:r>
      <w:r>
        <w:rPr>
          <w:sz w:val="21"/>
          <w:szCs w:val="21"/>
          <w:highlight w:val="yellow"/>
          <w:highlightCs w:val="yellow"/>
        </w:rPr>
        <w:t xml:space="preserve">[Initial]</w:t>
      </w:r>
      <w:r>
        <w:rPr>
          <w:sz w:val="21"/>
          <w:szCs w:val="21"/>
        </w:rPr>
        <w:t xml:space="preserve">. (2026, June). Alo Yoga owners eye IPO or sale after offloading wholesale T-shirt business. </w:t>
      </w:r>
      <w:r>
        <w:rPr>
          <w:i/>
          <w:iCs/>
          <w:sz w:val="21"/>
          <w:szCs w:val="21"/>
          <w:highlight w:val="yellow"/>
          <w:highlightCs w:val="yellow"/>
        </w:rPr>
        <w:t xml:space="preserve">TheIndustry.fashion</w:t>
      </w:r>
      <w:r>
        <w:rPr>
          <w:sz w:val="21"/>
          <w:szCs w:val="21"/>
        </w:rPr>
        <w:t xml:space="preserve">. https://www.theindustry.fashion/alo-yoga-owners-eye-ipo-or-sale-after-offloading-wholesale-t-shirt-business/</w:t>
      </w:r>
    </w:p>
    <w:p>
      <w:pPr>
        <w:spacing w:after="120" w:line="276"/>
        <w:ind w:left="720" w:hanging="720"/>
      </w:pPr>
      <w:r>
        <w:rPr>
          <w:sz w:val="21"/>
          <w:szCs w:val="21"/>
        </w:rPr>
        <w:t xml:space="preserve">Salpini, C. (2025a).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Salpini, C. (2025b). </w:t>
      </w:r>
      <w:r>
        <w:rPr>
          <w:sz w:val="21"/>
          <w:szCs w:val="21"/>
          <w:highlight w:val="yellow"/>
          <w:highlightCs w:val="yellow"/>
        </w:rPr>
        <w:t xml:space="preserve">[Article title]</w:t>
      </w:r>
      <w:r>
        <w:rPr>
          <w:sz w:val="21"/>
          <w:szCs w:val="21"/>
        </w:rPr>
        <w:t xml:space="preserve">. </w:t>
      </w:r>
      <w:r>
        <w:rPr>
          <w:i/>
          <w:iCs/>
          <w:sz w:val="21"/>
          <w:szCs w:val="21"/>
        </w:rPr>
        <w:t xml:space="preserve">Retail Dive</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MacKenzie, S. B., Yang, X., Buchholz, L. M., &amp; Darley, W. K. (2007). Modeling the determinants and effects of creativity in advertising. </w:t>
      </w:r>
      <w:r>
        <w:rPr>
          <w:i/>
          <w:iCs/>
          <w:sz w:val="21"/>
          <w:szCs w:val="21"/>
        </w:rPr>
        <w:t xml:space="preserve">Marketing Science, 26</w:t>
      </w:r>
      <w:r>
        <w:rPr>
          <w:sz w:val="21"/>
          <w:szCs w:val="21"/>
        </w:rPr>
        <w:t xml:space="preserve">(6), 819–833. https://doi.org/10.1287/mksc.1070.0272</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Stephen, A. T. (2016). The role of digital and social media marketing in consumer behavior. </w:t>
      </w:r>
      <w:r>
        <w:rPr>
          <w:i/>
          <w:iCs/>
          <w:sz w:val="21"/>
          <w:szCs w:val="21"/>
        </w:rPr>
        <w:t xml:space="preserve">Current Opinion in Psychology, 10</w:t>
      </w:r>
      <w:r>
        <w:rPr>
          <w:sz w:val="21"/>
          <w:szCs w:val="21"/>
        </w:rPr>
        <w:t xml:space="preserve">, 17–21. https://doi.org/10.1016/j.copsyc.2015.10.016</w:t>
      </w:r>
    </w:p>
    <w:p>
      <w:pPr>
        <w:spacing w:after="120" w:line="276"/>
        <w:ind w:left="720" w:hanging="720"/>
      </w:pPr>
      <w:r>
        <w:rPr>
          <w:sz w:val="21"/>
          <w:szCs w:val="21"/>
        </w:rPr>
        <w:t xml:space="preserve">Stephen, A. T., &amp; Galak, J. (2012). The effects of traditional and social earned media on sales: A study of a microlending marketplace. </w:t>
      </w:r>
      <w:r>
        <w:rPr>
          <w:i/>
          <w:iCs/>
          <w:sz w:val="21"/>
          <w:szCs w:val="21"/>
        </w:rPr>
        <w:t xml:space="preserve">Journal of Marketing Research, 49</w:t>
      </w:r>
      <w:r>
        <w:rPr>
          <w:sz w:val="21"/>
          <w:szCs w:val="21"/>
        </w:rPr>
        <w:t xml:space="preserve">(5), 624–639. https://doi.org/10.1509/jmr.09.0401</w:t>
      </w:r>
    </w:p>
    <w:p>
      <w:pPr>
        <w:spacing w:after="120" w:line="276"/>
        <w:ind w:left="720" w:hanging="720"/>
      </w:pPr>
      <w:r>
        <w:rPr>
          <w:sz w:val="21"/>
          <w:szCs w:val="21"/>
        </w:rPr>
        <w:t xml:space="preserve">Strong, E. K., Jr. (1925). </w:t>
      </w:r>
      <w:r>
        <w:rPr>
          <w:i/>
          <w:iCs/>
          <w:sz w:val="21"/>
          <w:szCs w:val="21"/>
        </w:rPr>
        <w:t xml:space="preserve">The psychology of selling and advertising</w:t>
      </w:r>
      <w:r>
        <w:rPr>
          <w:sz w:val="21"/>
          <w:szCs w:val="21"/>
        </w:rPr>
        <w:t xml:space="preserve">. McGraw-Hill.</w:t>
      </w:r>
    </w:p>
    <w:p>
      <w:pPr>
        <w:spacing w:after="120" w:line="276"/>
        <w:ind w:left="720" w:hanging="720"/>
      </w:pPr>
      <w:r>
        <w:rPr>
          <w:sz w:val="21"/>
          <w:szCs w:val="21"/>
        </w:rPr>
        <w:t xml:space="preserve">36Kr. (2026). </w:t>
      </w:r>
      <w:r>
        <w:rPr>
          <w:sz w:val="21"/>
          <w:szCs w:val="21"/>
          <w:highlight w:val="yellow"/>
          <w:highlightCs w:val="yellow"/>
        </w:rPr>
        <w:t xml:space="preserve">[Article title]</w:t>
      </w:r>
      <w:r>
        <w:rPr>
          <w:sz w:val="21"/>
          <w:szCs w:val="21"/>
        </w:rPr>
        <w:t xml:space="preserve">. </w:t>
      </w:r>
      <w:r>
        <w:rPr>
          <w:i/>
          <w:iCs/>
          <w:sz w:val="21"/>
          <w:szCs w:val="21"/>
        </w:rPr>
        <w:t xml:space="preserve">36Kr</w:t>
      </w:r>
      <w:r>
        <w:rPr>
          <w:sz w:val="21"/>
          <w:szCs w:val="21"/>
        </w:rPr>
        <w:t xml:space="preserve">. </w:t>
      </w:r>
      <w:r>
        <w:rPr>
          <w:sz w:val="21"/>
          <w:szCs w:val="21"/>
          <w:highlight w:val="yellow"/>
          <w:highlightCs w:val="yellow"/>
        </w:rPr>
        <w:t xml:space="preserve">[URL]</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pPr>
        <w:spacing w:after="120" w:line="276"/>
        <w:ind w:left="720" w:hanging="720"/>
      </w:pPr>
      <w:r>
        <w:rPr>
          <w:sz w:val="21"/>
          <w:szCs w:val="21"/>
        </w:rPr>
        <w:t xml:space="preserve">Wright, P. L. (1973). The cognitive processes mediating acceptance of advertising. </w:t>
      </w:r>
      <w:r>
        <w:rPr>
          <w:i/>
          <w:iCs/>
          <w:sz w:val="21"/>
          <w:szCs w:val="21"/>
        </w:rPr>
        <w:t xml:space="preserve">Journal of Marketing Research, 10</w:t>
      </w:r>
      <w:r>
        <w:rPr>
          <w:sz w:val="21"/>
          <w:szCs w:val="21"/>
        </w:rPr>
        <w:t xml:space="preserve">(1), 53–62. https://doi.org/10.1177/002224377301000108</w:t>
      </w:r>
    </w:p>
    <w:p>
      <w:r>
        <w:br w:type="page"/>
      </w:r>
    </w:p>
    <w:p>
      <w:pPr>
        <w:pStyle w:val="Heading1"/>
      </w:pPr>
      <w:r>
        <w:t xml:space="preserve">Appendix A: Google Trends,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Indexed relative search volume. Averages: Lululemon 55, Lorna Jane 21, Alo 20. Alo peaked at about 46 at the May opening and has sat near 11 since September; The Galeries opening produced no visible lift.</w:t>
      </w:r>
    </w:p>
    <w:p>
      <w:r>
        <w:br w:type="page"/>
      </w:r>
    </w:p>
    <w:p>
      <w:pPr>
        <w:pStyle w:val="Heading1"/>
      </w:pPr>
      <w:r>
        <w:t xml:space="preserve">Appendix B: Segment Evaluation</w:t>
      </w:r>
    </w:p>
    <w:p>
      <w:pPr>
        <w:keepNext/>
        <w:spacing w:after="40" w:before="200"/>
      </w:pPr>
      <w:r>
        <w:rPr>
          <w:b/>
          <w:bCs/>
        </w:rPr>
        <w:t xml:space="preserve">Table B1</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 Men and unisex</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gym; daily Instagram and TikTok; older Gen Z and younger Millennials (Francis &amp; Hoefel, 2018)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but small in Alo's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near Chatswood, CBD and Bondi stores; reachable through creators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Responsive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(36Kr,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Risk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Financial pressure (Deloitte, 2026)</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Hard to switch</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Needs separate creative</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160"/>
      </w:pPr>
    </w:p>
    <w:p>
      <w:r>
        <w:br w:type="page"/>
      </w:r>
    </w:p>
    <w:p>
      <w:pPr>
        <w:pStyle w:val="Heading1"/>
      </w:pPr>
      <w:r>
        <w:t xml:space="preserve">Appendix C: Standardisation Versus Localisation</w:t>
      </w:r>
    </w:p>
    <w:p>
      <w:pPr>
        <w:keepNext/>
        <w:spacing w:after="40" w:before="200"/>
      </w:pPr>
      <w:r>
        <w:rPr>
          <w:b/>
          <w:bCs/>
        </w:rPr>
        <w:t xml:space="preserve">Table C1</w:t>
      </w:r>
    </w:p>
    <w:p>
      <w:pPr>
        <w:keepNext/>
        <w:spacing w:after="100"/>
      </w:pPr>
      <w:r>
        <w:rPr>
          <w:i/>
          <w:iCs/>
        </w:rPr>
        <w:t xml:space="preserve">Standardisation Versus Localisation Governance for the Australian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Standardised (Alo global)</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Localised (Sydney)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identity and assets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Logo, neutral palette, studio aesthetic, typography</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Positioning</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design-led activewear</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Expressed as "Mat to Moment": studio to street in a Sydney day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Sources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 celebrity ambassadors in this launch phase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Sydney instructors, micro-creators, one macro creator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Settings and stories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Bondi studio, neighbourhood café, Bondi-to-Bronte walk</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Partnerships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 near each store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Offers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No discounting (protects premium)</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Styling appointments and early access to new drops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Media</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Store-catchment outdoor, geo-targeted social, Greater Sydney audio</w:t>
            </w:r>
          </w:p>
        </w:tc>
      </w:tr>
    </w:tbl>
    <w:p>
      <w:pPr>
        <w:spacing w:after="240" w:before="60"/>
      </w:pPr>
      <w:r>
        <w:rPr>
          <w:i/>
          <w:iCs/>
          <w:color w:val="5B6770"/>
          <w:sz w:val="19"/>
          <w:szCs w:val="19"/>
        </w:rPr>
        <w:t xml:space="preserve">Note. </w:t>
      </w:r>
      <w:r>
        <w:rPr>
          <w:color w:val="5B6770"/>
          <w:sz w:val="19"/>
          <w:szCs w:val="19"/>
        </w:rPr>
        <w:t xml:space="preserve">Agency governance split informed by Levitt (1983) and Sichtmann et al. (2019).</w:t>
      </w:r>
    </w:p>
    <w:p>
      <w:r>
        <w:br w:type="page"/>
      </w:r>
    </w:p>
    <w:p>
      <w:pPr>
        <w:pStyle w:val="Heading1"/>
      </w:pPr>
      <w:r>
        <w:t xml:space="preserve">Appendix D: Divergence and Relevance Assessment</w:t>
      </w:r>
    </w:p>
    <w:p>
      <w:pPr>
        <w:keepNext/>
        <w:spacing w:after="40" w:before="200"/>
      </w:pPr>
      <w:r>
        <w:rPr>
          <w:b/>
          <w:bCs/>
        </w:rPr>
        <w:t xml:space="preserve">Table D1</w:t>
      </w:r>
    </w:p>
    <w:p>
      <w:pPr>
        <w:keepNext/>
        <w:spacing w:after="100"/>
      </w:pPr>
      <w:r>
        <w:rPr>
          <w:i/>
          <w:iCs/>
        </w:rPr>
        <w:t xml:space="preserve">Divergence and Relevance Applied to One Set, One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Dimension</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Evidence in the campaign</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Divergence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Originality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Shows quiet post-class moments, not the category's sweat-and-intensity convention</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Flexibility</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idea works as film, still, audio, outdoor and live session</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Synthesis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Links two unrelated worlds, the reformer and the café, through one garment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Elaboration</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Timestamps, sound cues and styling details reward repeat viewing</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Artistic value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and restrained art direction suit a premium brand</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Relevance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Meaningfulness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Mirrors Segment A's real routine and its "after class" problem</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appropriateness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Expresses Alo's studio-to-street design heritage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Persuasion</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Turns a price objection into a cost-per-wear argument</w:t>
            </w:r>
          </w:p>
        </w:tc>
      </w:tr>
    </w:tbl>
    <w:p>
      <w:pPr>
        <w:spacing w:after="240" w:before="60"/>
      </w:pPr>
      <w:r>
        <w:rPr>
          <w:i/>
          <w:iCs/>
          <w:color w:val="5B6770"/>
          <w:sz w:val="19"/>
          <w:szCs w:val="19"/>
        </w:rPr>
        <w:t xml:space="preserve">Note. </w:t>
      </w:r>
      <w:r>
        <w:rPr>
          <w:color w:val="5B6770"/>
          <w:sz w:val="19"/>
          <w:szCs w:val="19"/>
        </w:rPr>
        <w:t xml:space="preserve">Dimensions from Smith et al. (2007) and Smith and Yang (2004).</w:t>
      </w:r>
    </w:p>
    <w:p>
      <w:r>
        <w:br w:type="page"/>
      </w:r>
    </w:p>
    <w:p>
      <w:pPr>
        <w:pStyle w:val="Heading1"/>
      </w:pPr>
      <w:r>
        <w:t xml:space="preserve">Appendix E: Perceptual Positioning Map</w:t>
      </w:r>
    </w:p>
    <w:p>
      <w:pPr>
        <w:keepNext/>
        <w:spacing w:after="40" w:before="200"/>
      </w:pPr>
      <w:r>
        <w:rPr>
          <w:b/>
          <w:bCs/>
        </w:rPr>
        <w:t xml:space="preserve">Figure E1</w:t>
      </w:r>
    </w:p>
    <w:p>
      <w:pPr>
        <w:keepNext/>
        <w:spacing w:after="100"/>
      </w:pPr>
      <w:r>
        <w:rPr>
          <w:i/>
          <w:iCs/>
        </w:rPr>
        <w:t xml:space="preserve">Perceptual Positioning Map of Australian Premium Activewear</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judgement from Table 1; to be validated in the pre-campaign survey.</w:t>
      </w:r>
    </w:p>
    <w:p>
      <w:r>
        <w:br w:type="page"/>
      </w:r>
    </w:p>
    <w:p>
      <w:pPr>
        <w:pStyle w:val="Heading1"/>
      </w:pPr>
      <w:r>
        <w:t xml:space="preserve">Appendix F: Integration Architecture</w:t>
      </w:r>
    </w:p>
    <w:p>
      <w:pPr>
        <w:keepNext/>
        <w:spacing w:after="40" w:before="200"/>
      </w:pPr>
      <w:r>
        <w:rPr>
          <w:b/>
          <w:bCs/>
        </w:rPr>
        <w:t xml:space="preserve">Figure F1</w:t>
      </w:r>
    </w:p>
    <w:p>
      <w:pPr>
        <w:keepNext/>
        <w:spacing w:after="100"/>
      </w:pPr>
      <w:r>
        <w:rPr>
          <w:i/>
          <w:iCs/>
        </w:rPr>
        <w:t xml:space="preserve">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r>
        <w:br w:type="page"/>
      </w:r>
    </w:p>
    <w:p>
      <w:pPr>
        <w:pStyle w:val="Heading1"/>
      </w:pPr>
      <w:r>
        <w:t xml:space="preserve">Appendix G: Creative Tactics by Channel</w:t>
      </w:r>
    </w:p>
    <w:p>
      <w:pPr>
        <w:keepNext/>
        <w:spacing w:after="40" w:before="200"/>
      </w:pPr>
      <w:r>
        <w:rPr>
          <w:b/>
          <w:bCs/>
        </w:rPr>
        <w:t xml:space="preserve">Figure G1</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creative framework.</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4aeb673a16ab82800d5971931bd7c1c85d5087.png"/><Relationship Id="rId9" Type="http://schemas.openxmlformats.org/officeDocument/2006/relationships/image" Target="media/d8c9c399f0e2f9cf2490fd8c5f4573851d743518.png"/><Relationship Id="rId10" Type="http://schemas.openxmlformats.org/officeDocument/2006/relationships/image" Target="media/7a96742d818e5fba57cb6e0223a89c34e1624f45.png"/><Relationship Id="rId11" Type="http://schemas.openxmlformats.org/officeDocument/2006/relationships/image" Target="media/97d0647f285406dc1ab2e52eea1c42856c1becfa.png"/><Relationship Id="rId12" Type="http://schemas.openxmlformats.org/officeDocument/2006/relationships/image" Target="media/4d497f5fdf89ef23dff42cfd43fe8060370a8cbb.png"/><Relationship Id="rId13" Type="http://schemas.openxmlformats.org/officeDocument/2006/relationships/image" Target="media/247893be9be15fc12f4a3291cba91f4841e25af3.png"/><Relationship Id="rId14" Type="http://schemas.openxmlformats.org/officeDocument/2006/relationships/image" Target="media/9db1a48376bf9904873f9a9dd61fbbf68831376d.png"/><Relationship Id="rId15" Type="http://schemas.openxmlformats.org/officeDocument/2006/relationships/image" Target="media/6122e472b4c8a2d796f4cda4ee950f2da8fc6e53.png"/><Relationship Id="rId16" Type="http://schemas.openxmlformats.org/officeDocument/2006/relationships/image" Target="media/aa49d250bf5e37ea8617edda0a7d42f44b60f48c.png"/><Relationship Id="rId17" Type="http://schemas.openxmlformats.org/officeDocument/2006/relationships/image" Target="media/8400321a5b1f402763dcc1205b98ca74ed8c893a.png"/><Relationship Id="rId18" Type="http://schemas.openxmlformats.org/officeDocument/2006/relationships/image" Target="media/5d332805e50cc95923ec6202bcce8c9e83d5d46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2026-10-28T23:10:14.421Z</dcterms:created>
  <dcterms:modified xsi:type="dcterms:W3CDTF">2026-10-28T23:10:14.425Z</dcterms:modified>
</cp:coreProperties>
</file>

<file path=docProps/custom.xml><?xml version="1.0" encoding="utf-8"?>
<Properties xmlns="http://schemas.openxmlformats.org/officeDocument/2006/custom-properties" xmlns:vt="http://schemas.openxmlformats.org/officeDocument/2006/docPropsVTypes"/>
</file>